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7507" w:rsidRPr="000A64D8" w:rsidRDefault="00AB7507" w:rsidP="00AB7507">
      <w:pPr>
        <w:tabs>
          <w:tab w:val="right" w:pos="10000"/>
        </w:tabs>
        <w:spacing w:after="0"/>
        <w:rPr>
          <w:rFonts w:ascii="Arial" w:hAnsi="Arial" w:cs="Arial"/>
          <w:b/>
          <w:sz w:val="24"/>
          <w:szCs w:val="24"/>
        </w:rPr>
      </w:pPr>
      <w:r>
        <w:rPr>
          <w:rFonts w:ascii="Arial" w:hAnsi="Arial" w:cs="Arial"/>
          <w:b/>
          <w:bCs/>
          <w:sz w:val="28"/>
        </w:rPr>
        <w:t xml:space="preserve">3GPP TSG RAN WG1 </w:t>
      </w:r>
      <w:r>
        <w:rPr>
          <w:rFonts w:ascii="Arial" w:eastAsia="MS Mincho" w:hAnsi="Arial" w:cs="Arial" w:hint="eastAsia"/>
          <w:b/>
          <w:bCs/>
          <w:sz w:val="28"/>
          <w:lang w:eastAsia="ja-JP"/>
        </w:rPr>
        <w:t>#90</w:t>
      </w:r>
      <w:r>
        <w:rPr>
          <w:rFonts w:ascii="Arial" w:hAnsi="Arial" w:cs="Arial" w:hint="eastAsia"/>
          <w:b/>
          <w:bCs/>
          <w:sz w:val="28"/>
        </w:rPr>
        <w:t xml:space="preserve">       </w:t>
      </w:r>
      <w:r w:rsidRPr="009513AC">
        <w:rPr>
          <w:rFonts w:ascii="Arial" w:eastAsia="MS Mincho" w:hAnsi="Arial" w:cs="Arial" w:hint="eastAsia"/>
          <w:b/>
          <w:bCs/>
          <w:sz w:val="28"/>
          <w:lang w:eastAsia="ja-JP"/>
        </w:rPr>
        <w:t xml:space="preserve">                         </w:t>
      </w:r>
      <w:r>
        <w:rPr>
          <w:rFonts w:ascii="Arial" w:eastAsia="MS Mincho" w:hAnsi="Arial" w:cs="Arial" w:hint="eastAsia"/>
          <w:b/>
          <w:bCs/>
          <w:sz w:val="28"/>
          <w:lang w:eastAsia="ja-JP"/>
        </w:rPr>
        <w:t xml:space="preserve">   </w:t>
      </w:r>
      <w:r w:rsidRPr="009513AC">
        <w:rPr>
          <w:rFonts w:ascii="Arial" w:eastAsia="MS Mincho" w:hAnsi="Arial" w:cs="Arial" w:hint="eastAsia"/>
          <w:b/>
          <w:bCs/>
          <w:sz w:val="28"/>
          <w:lang w:eastAsia="ja-JP"/>
        </w:rPr>
        <w:t xml:space="preserve">    </w:t>
      </w:r>
      <w:r w:rsidRPr="000A64D8">
        <w:rPr>
          <w:rFonts w:ascii="Arial" w:hAnsi="Arial" w:cs="Arial"/>
          <w:b/>
          <w:sz w:val="24"/>
          <w:szCs w:val="24"/>
        </w:rPr>
        <w:tab/>
      </w:r>
      <w:r w:rsidRPr="005D7472">
        <w:rPr>
          <w:rFonts w:ascii="Arial" w:hAnsi="Arial" w:cs="Arial"/>
          <w:b/>
          <w:sz w:val="28"/>
          <w:szCs w:val="24"/>
        </w:rPr>
        <w:t>R1-</w:t>
      </w:r>
      <w:r w:rsidR="001A0F72">
        <w:rPr>
          <w:rFonts w:ascii="Arial" w:hAnsi="Arial" w:cs="Arial"/>
          <w:b/>
          <w:sz w:val="28"/>
          <w:szCs w:val="24"/>
        </w:rPr>
        <w:t>1712705</w:t>
      </w:r>
    </w:p>
    <w:p w:rsidR="00AB7507" w:rsidRPr="00FD021C" w:rsidRDefault="00AB7507" w:rsidP="00AB7507">
      <w:pPr>
        <w:tabs>
          <w:tab w:val="right" w:pos="9630"/>
        </w:tabs>
        <w:spacing w:after="0"/>
        <w:jc w:val="both"/>
        <w:rPr>
          <w:rFonts w:ascii="Arial" w:hAnsi="Arial" w:cs="Arial"/>
          <w:b/>
          <w:sz w:val="24"/>
          <w:szCs w:val="24"/>
        </w:rPr>
      </w:pPr>
      <w:r>
        <w:rPr>
          <w:rFonts w:ascii="Arial" w:hAnsi="Arial" w:cs="Arial"/>
          <w:b/>
          <w:sz w:val="24"/>
          <w:szCs w:val="24"/>
        </w:rPr>
        <w:t>21</w:t>
      </w:r>
      <w:r>
        <w:rPr>
          <w:rFonts w:ascii="Arial" w:hAnsi="Arial" w:cs="Arial"/>
          <w:b/>
          <w:sz w:val="24"/>
          <w:szCs w:val="24"/>
          <w:vertAlign w:val="superscript"/>
        </w:rPr>
        <w:t>st</w:t>
      </w:r>
      <w:r>
        <w:rPr>
          <w:rFonts w:ascii="Arial" w:hAnsi="Arial" w:cs="Arial"/>
          <w:b/>
          <w:sz w:val="24"/>
          <w:szCs w:val="24"/>
        </w:rPr>
        <w:t xml:space="preserve"> –</w:t>
      </w:r>
      <w:r w:rsidRPr="003732BA">
        <w:rPr>
          <w:rFonts w:ascii="Arial" w:hAnsi="Arial" w:cs="Arial"/>
          <w:b/>
          <w:sz w:val="24"/>
          <w:szCs w:val="24"/>
        </w:rPr>
        <w:t xml:space="preserve"> </w:t>
      </w:r>
      <w:r>
        <w:rPr>
          <w:rFonts w:ascii="Arial" w:hAnsi="Arial" w:cs="Arial"/>
          <w:b/>
          <w:sz w:val="24"/>
          <w:szCs w:val="24"/>
        </w:rPr>
        <w:t>25</w:t>
      </w:r>
      <w:r w:rsidRPr="00CA6BDF">
        <w:rPr>
          <w:rFonts w:ascii="Arial" w:hAnsi="Arial" w:cs="Arial"/>
          <w:b/>
          <w:sz w:val="24"/>
          <w:szCs w:val="24"/>
          <w:vertAlign w:val="superscript"/>
        </w:rPr>
        <w:t>th</w:t>
      </w:r>
      <w:r>
        <w:rPr>
          <w:rFonts w:ascii="Arial" w:hAnsi="Arial" w:cs="Arial"/>
          <w:b/>
          <w:sz w:val="24"/>
          <w:szCs w:val="24"/>
        </w:rPr>
        <w:t xml:space="preserve"> </w:t>
      </w:r>
      <w:r>
        <w:rPr>
          <w:rFonts w:ascii="Arial" w:eastAsia="MS Mincho" w:hAnsi="Arial" w:cs="Arial" w:hint="eastAsia"/>
          <w:b/>
          <w:bCs/>
          <w:sz w:val="28"/>
          <w:lang w:eastAsia="ja-JP"/>
        </w:rPr>
        <w:t>August</w:t>
      </w:r>
      <w:r>
        <w:rPr>
          <w:rFonts w:ascii="Arial" w:hAnsi="Arial" w:cs="Arial"/>
          <w:b/>
          <w:bCs/>
          <w:sz w:val="28"/>
        </w:rPr>
        <w:t xml:space="preserve"> </w:t>
      </w:r>
      <w:r>
        <w:rPr>
          <w:rFonts w:ascii="Arial" w:hAnsi="Arial" w:cs="Arial"/>
          <w:b/>
          <w:sz w:val="24"/>
          <w:szCs w:val="24"/>
        </w:rPr>
        <w:t>2017</w:t>
      </w:r>
    </w:p>
    <w:p w:rsidR="00AB7507" w:rsidRDefault="00AB7507" w:rsidP="00AB7507">
      <w:pPr>
        <w:pStyle w:val="Footer"/>
        <w:jc w:val="both"/>
        <w:rPr>
          <w:rFonts w:cs="Arial"/>
          <w:sz w:val="24"/>
          <w:szCs w:val="24"/>
        </w:rPr>
      </w:pPr>
      <w:r>
        <w:rPr>
          <w:rFonts w:cs="Arial"/>
          <w:sz w:val="24"/>
          <w:szCs w:val="24"/>
        </w:rPr>
        <w:t>Prague, Czech Republic</w:t>
      </w:r>
    </w:p>
    <w:p w:rsidR="003150B5" w:rsidRPr="000A64D8" w:rsidRDefault="003150B5" w:rsidP="003150B5">
      <w:pPr>
        <w:pStyle w:val="Footer"/>
        <w:jc w:val="both"/>
        <w:rPr>
          <w:noProof w:val="0"/>
        </w:rPr>
      </w:pPr>
    </w:p>
    <w:p w:rsidR="003150B5" w:rsidRPr="000A64D8" w:rsidRDefault="003150B5" w:rsidP="003150B5">
      <w:pPr>
        <w:tabs>
          <w:tab w:val="left" w:pos="1985"/>
          <w:tab w:val="left" w:pos="3820"/>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7A3C41" w:rsidRPr="007A3C41">
        <w:rPr>
          <w:rFonts w:ascii="Arial" w:hAnsi="Arial"/>
          <w:sz w:val="24"/>
        </w:rPr>
        <w:t>6.1.2.1.2</w:t>
      </w:r>
      <w:r>
        <w:rPr>
          <w:rFonts w:ascii="Arial" w:hAnsi="Arial"/>
          <w:sz w:val="24"/>
        </w:rPr>
        <w:tab/>
      </w:r>
    </w:p>
    <w:p w:rsidR="003150B5" w:rsidRPr="001D7377" w:rsidRDefault="003150B5" w:rsidP="003150B5">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Pr>
          <w:rFonts w:ascii="Arial" w:hAnsi="Arial"/>
          <w:sz w:val="24"/>
        </w:rPr>
        <w:t xml:space="preserve">AT&amp;T </w:t>
      </w:r>
    </w:p>
    <w:p w:rsidR="003150B5" w:rsidRPr="006B4A09" w:rsidRDefault="003150B5" w:rsidP="003150B5">
      <w:pPr>
        <w:ind w:left="1988" w:hanging="1988"/>
        <w:rPr>
          <w:rFonts w:ascii="Arial" w:hAnsi="Arial"/>
          <w:sz w:val="22"/>
          <w:szCs w:val="22"/>
        </w:rPr>
      </w:pPr>
      <w:r w:rsidRPr="006B4A09">
        <w:rPr>
          <w:rFonts w:ascii="Arial" w:hAnsi="Arial"/>
          <w:b/>
          <w:sz w:val="22"/>
          <w:szCs w:val="22"/>
        </w:rPr>
        <w:t>Title:</w:t>
      </w:r>
      <w:r w:rsidRPr="006B4A09">
        <w:rPr>
          <w:rFonts w:ascii="Arial" w:hAnsi="Arial"/>
          <w:sz w:val="22"/>
          <w:szCs w:val="22"/>
        </w:rPr>
        <w:t xml:space="preserve"> </w:t>
      </w:r>
      <w:r w:rsidRPr="006B4A09">
        <w:rPr>
          <w:rFonts w:ascii="Arial" w:hAnsi="Arial"/>
          <w:sz w:val="22"/>
          <w:szCs w:val="22"/>
        </w:rPr>
        <w:tab/>
      </w:r>
      <w:r w:rsidR="001A0F72" w:rsidRPr="001A0F72">
        <w:rPr>
          <w:rFonts w:ascii="Arial" w:hAnsi="Arial"/>
          <w:sz w:val="22"/>
          <w:szCs w:val="22"/>
        </w:rPr>
        <w:t>On Non Codebook based UL Transmissions</w:t>
      </w:r>
    </w:p>
    <w:p w:rsidR="003150B5" w:rsidRDefault="003150B5" w:rsidP="003150B5">
      <w:pPr>
        <w:ind w:left="1988" w:hanging="1988"/>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Pr>
          <w:rFonts w:ascii="Arial" w:hAnsi="Arial"/>
          <w:sz w:val="24"/>
        </w:rPr>
        <w:t>/Decision</w:t>
      </w:r>
    </w:p>
    <w:p w:rsidR="001D7377" w:rsidRPr="00183CB7" w:rsidRDefault="00C70C19" w:rsidP="001D7377">
      <w:pPr>
        <w:pStyle w:val="Heading1"/>
      </w:pPr>
      <w:r>
        <w:t xml:space="preserve"> </w:t>
      </w:r>
      <w:r w:rsidR="001D7377" w:rsidRPr="00183CB7">
        <w:t>Introduction</w:t>
      </w:r>
    </w:p>
    <w:p w:rsidR="008C7323" w:rsidRDefault="008C7323" w:rsidP="001D7377">
      <w:pPr>
        <w:jc w:val="both"/>
        <w:rPr>
          <w:sz w:val="24"/>
          <w:szCs w:val="24"/>
        </w:rPr>
      </w:pPr>
      <w:r w:rsidRPr="0086141D">
        <w:rPr>
          <w:sz w:val="24"/>
          <w:szCs w:val="24"/>
          <w:lang w:val="en-GB"/>
        </w:rPr>
        <w:t>I</w:t>
      </w:r>
      <w:r w:rsidR="001D7377" w:rsidRPr="0086141D">
        <w:rPr>
          <w:sz w:val="24"/>
          <w:szCs w:val="24"/>
        </w:rPr>
        <w:t>n RAN</w:t>
      </w:r>
      <w:r w:rsidRPr="0086141D">
        <w:rPr>
          <w:sz w:val="24"/>
          <w:szCs w:val="24"/>
        </w:rPr>
        <w:t xml:space="preserve"> #71, a new study item New Radio (NR) Access Technology was approved. </w:t>
      </w:r>
      <w:r w:rsidR="00E11C1C">
        <w:rPr>
          <w:sz w:val="24"/>
          <w:szCs w:val="24"/>
        </w:rPr>
        <w:t xml:space="preserve">The following agreements were made </w:t>
      </w:r>
      <w:r w:rsidR="003F2F64">
        <w:rPr>
          <w:sz w:val="24"/>
          <w:szCs w:val="24"/>
        </w:rPr>
        <w:t>in RAN1#88bis</w:t>
      </w:r>
      <w:r w:rsidR="00084DD3">
        <w:rPr>
          <w:sz w:val="24"/>
          <w:szCs w:val="24"/>
        </w:rPr>
        <w:t xml:space="preserve"> m</w:t>
      </w:r>
      <w:r w:rsidR="00A64D84">
        <w:rPr>
          <w:sz w:val="24"/>
          <w:szCs w:val="24"/>
        </w:rPr>
        <w:t xml:space="preserve">eeting for diversity transmission </w:t>
      </w:r>
    </w:p>
    <w:p w:rsidR="00A64D84" w:rsidRPr="00725535" w:rsidRDefault="00A64D84" w:rsidP="00A64D84">
      <w:pPr>
        <w:rPr>
          <w:rFonts w:eastAsia="MS Mincho"/>
          <w:b/>
          <w:sz w:val="24"/>
          <w:szCs w:val="24"/>
          <w:u w:val="single"/>
          <w:lang w:eastAsia="ja-JP"/>
        </w:rPr>
      </w:pPr>
      <w:r w:rsidRPr="00725535">
        <w:rPr>
          <w:rFonts w:eastAsia="MS Mincho"/>
          <w:b/>
          <w:sz w:val="24"/>
          <w:szCs w:val="24"/>
          <w:highlight w:val="green"/>
          <w:u w:val="single"/>
          <w:lang w:eastAsia="ja-JP"/>
        </w:rPr>
        <w:t>Agreements</w:t>
      </w:r>
      <w:r w:rsidRPr="00725535">
        <w:rPr>
          <w:rFonts w:eastAsia="MS Mincho"/>
          <w:b/>
          <w:sz w:val="24"/>
          <w:szCs w:val="24"/>
          <w:u w:val="single"/>
          <w:lang w:eastAsia="ja-JP"/>
        </w:rPr>
        <w:t>:</w:t>
      </w:r>
    </w:p>
    <w:p w:rsidR="003F2F64" w:rsidRPr="004E0663" w:rsidRDefault="003F2F64" w:rsidP="003F2F64">
      <w:pPr>
        <w:numPr>
          <w:ilvl w:val="0"/>
          <w:numId w:val="19"/>
        </w:numPr>
        <w:overflowPunct/>
        <w:autoSpaceDE/>
        <w:autoSpaceDN/>
        <w:adjustRightInd/>
        <w:spacing w:after="0"/>
        <w:textAlignment w:val="auto"/>
        <w:rPr>
          <w:rFonts w:eastAsia="MS Mincho"/>
          <w:sz w:val="24"/>
        </w:rPr>
      </w:pPr>
      <w:r w:rsidRPr="004E0663">
        <w:rPr>
          <w:rFonts w:eastAsia="MS Mincho"/>
          <w:sz w:val="24"/>
        </w:rPr>
        <w:t>Support at least the following UL transmission schemes for data in NR</w:t>
      </w:r>
    </w:p>
    <w:p w:rsidR="003F2F64" w:rsidRPr="004E0663" w:rsidRDefault="003F2F64" w:rsidP="003F2F64">
      <w:pPr>
        <w:numPr>
          <w:ilvl w:val="1"/>
          <w:numId w:val="19"/>
        </w:numPr>
        <w:overflowPunct/>
        <w:autoSpaceDE/>
        <w:autoSpaceDN/>
        <w:adjustRightInd/>
        <w:spacing w:after="0"/>
        <w:textAlignment w:val="auto"/>
        <w:rPr>
          <w:rFonts w:eastAsia="MS Mincho"/>
          <w:sz w:val="24"/>
        </w:rPr>
      </w:pPr>
      <w:r w:rsidRPr="004E0663">
        <w:rPr>
          <w:rFonts w:eastAsia="MS Mincho"/>
          <w:sz w:val="24"/>
        </w:rPr>
        <w:t>Scheme A: Codebook based UL transmission</w:t>
      </w:r>
    </w:p>
    <w:p w:rsidR="003F2F64" w:rsidRPr="004E0663" w:rsidRDefault="003F2F64" w:rsidP="003F2F64">
      <w:pPr>
        <w:numPr>
          <w:ilvl w:val="2"/>
          <w:numId w:val="19"/>
        </w:numPr>
        <w:overflowPunct/>
        <w:autoSpaceDE/>
        <w:autoSpaceDN/>
        <w:adjustRightInd/>
        <w:spacing w:after="0"/>
        <w:textAlignment w:val="auto"/>
        <w:rPr>
          <w:rFonts w:eastAsia="MS Mincho"/>
          <w:sz w:val="24"/>
        </w:rPr>
      </w:pPr>
      <w:r w:rsidRPr="004E0663">
        <w:rPr>
          <w:rFonts w:eastAsia="MS Mincho"/>
          <w:sz w:val="24"/>
        </w:rPr>
        <w:t>...</w:t>
      </w:r>
    </w:p>
    <w:p w:rsidR="003F2F64" w:rsidRPr="004E0663" w:rsidRDefault="003F2F64" w:rsidP="003F2F64">
      <w:pPr>
        <w:numPr>
          <w:ilvl w:val="1"/>
          <w:numId w:val="19"/>
        </w:numPr>
        <w:overflowPunct/>
        <w:autoSpaceDE/>
        <w:autoSpaceDN/>
        <w:adjustRightInd/>
        <w:spacing w:after="0"/>
        <w:textAlignment w:val="auto"/>
        <w:rPr>
          <w:rFonts w:eastAsia="MS Mincho"/>
          <w:sz w:val="24"/>
        </w:rPr>
      </w:pPr>
      <w:r w:rsidRPr="004E0663">
        <w:rPr>
          <w:rFonts w:eastAsia="MS Mincho"/>
          <w:sz w:val="24"/>
        </w:rPr>
        <w:t>Scheme B: Non-codebook based UL transmission</w:t>
      </w:r>
    </w:p>
    <w:p w:rsidR="003F2F64" w:rsidRPr="004E0663" w:rsidRDefault="003F2F64" w:rsidP="003F2F64">
      <w:pPr>
        <w:numPr>
          <w:ilvl w:val="2"/>
          <w:numId w:val="19"/>
        </w:numPr>
        <w:overflowPunct/>
        <w:autoSpaceDE/>
        <w:autoSpaceDN/>
        <w:adjustRightInd/>
        <w:spacing w:after="0"/>
        <w:textAlignment w:val="auto"/>
        <w:rPr>
          <w:rFonts w:eastAsia="MS Mincho"/>
          <w:sz w:val="24"/>
        </w:rPr>
      </w:pPr>
      <w:r w:rsidRPr="004E0663">
        <w:rPr>
          <w:rFonts w:eastAsia="MS Mincho"/>
          <w:sz w:val="24"/>
        </w:rPr>
        <w:t>Support frequency selective precoding for CP-OFDM when the number of transmission port is greater than Y (FFS: Value of Y).</w:t>
      </w:r>
    </w:p>
    <w:p w:rsidR="003F2F64" w:rsidRPr="004E0663" w:rsidRDefault="003F2F64" w:rsidP="003F2F64">
      <w:pPr>
        <w:numPr>
          <w:ilvl w:val="2"/>
          <w:numId w:val="19"/>
        </w:numPr>
        <w:overflowPunct/>
        <w:autoSpaceDE/>
        <w:autoSpaceDN/>
        <w:adjustRightInd/>
        <w:spacing w:after="0"/>
        <w:textAlignment w:val="auto"/>
        <w:rPr>
          <w:rFonts w:eastAsia="MS Mincho"/>
          <w:sz w:val="24"/>
        </w:rPr>
      </w:pPr>
      <w:r w:rsidRPr="004E0663">
        <w:rPr>
          <w:rFonts w:eastAsia="MS Mincho"/>
          <w:sz w:val="24"/>
        </w:rPr>
        <w:t>Support the indication of DL measurement RS for UE to calculate candidate precoder</w:t>
      </w:r>
    </w:p>
    <w:p w:rsidR="003F2F64" w:rsidRPr="004E0663" w:rsidRDefault="003F2F64" w:rsidP="003F2F64">
      <w:pPr>
        <w:numPr>
          <w:ilvl w:val="2"/>
          <w:numId w:val="19"/>
        </w:numPr>
        <w:overflowPunct/>
        <w:autoSpaceDE/>
        <w:autoSpaceDN/>
        <w:adjustRightInd/>
        <w:spacing w:after="0"/>
        <w:textAlignment w:val="auto"/>
        <w:rPr>
          <w:rFonts w:eastAsia="MS Mincho"/>
          <w:sz w:val="24"/>
        </w:rPr>
      </w:pPr>
      <w:r w:rsidRPr="004E0663">
        <w:rPr>
          <w:rFonts w:eastAsia="MS Mincho"/>
          <w:sz w:val="24"/>
        </w:rPr>
        <w:t>Study the mechanisms for UL precoder determination, e.g. precoded SRS based, non-precoded SRS based, hybrid precoded and non-precoded SRS based</w:t>
      </w:r>
    </w:p>
    <w:p w:rsidR="003F2F64" w:rsidRPr="004E0663" w:rsidRDefault="003F2F64" w:rsidP="003F2F64">
      <w:pPr>
        <w:numPr>
          <w:ilvl w:val="1"/>
          <w:numId w:val="19"/>
        </w:numPr>
        <w:overflowPunct/>
        <w:autoSpaceDE/>
        <w:autoSpaceDN/>
        <w:adjustRightInd/>
        <w:spacing w:after="0"/>
        <w:textAlignment w:val="auto"/>
        <w:rPr>
          <w:rFonts w:eastAsia="MS Mincho"/>
          <w:sz w:val="24"/>
        </w:rPr>
      </w:pPr>
      <w:r w:rsidRPr="004E0663">
        <w:rPr>
          <w:rFonts w:eastAsia="MS Mincho"/>
          <w:sz w:val="24"/>
        </w:rPr>
        <w:t>Diversity-based transmission schemes</w:t>
      </w:r>
    </w:p>
    <w:p w:rsidR="003F2F64" w:rsidRPr="004E0663" w:rsidRDefault="003F2F64" w:rsidP="003F2F64">
      <w:pPr>
        <w:numPr>
          <w:ilvl w:val="2"/>
          <w:numId w:val="19"/>
        </w:numPr>
        <w:overflowPunct/>
        <w:autoSpaceDE/>
        <w:autoSpaceDN/>
        <w:adjustRightInd/>
        <w:spacing w:after="0"/>
        <w:textAlignment w:val="auto"/>
        <w:rPr>
          <w:rFonts w:eastAsia="MS Mincho"/>
          <w:sz w:val="24"/>
        </w:rPr>
      </w:pPr>
      <w:r w:rsidRPr="004E0663">
        <w:rPr>
          <w:rFonts w:eastAsia="MS Mincho"/>
          <w:sz w:val="24"/>
        </w:rPr>
        <w:t>FFS: Whether the scheme has specification impact or not</w:t>
      </w:r>
    </w:p>
    <w:p w:rsidR="003F2F64" w:rsidRPr="004E0663" w:rsidRDefault="003F2F64" w:rsidP="003F2F64">
      <w:pPr>
        <w:numPr>
          <w:ilvl w:val="1"/>
          <w:numId w:val="19"/>
        </w:numPr>
        <w:overflowPunct/>
        <w:autoSpaceDE/>
        <w:autoSpaceDN/>
        <w:adjustRightInd/>
        <w:spacing w:after="0"/>
        <w:textAlignment w:val="auto"/>
        <w:rPr>
          <w:rFonts w:eastAsia="MS Mincho"/>
          <w:sz w:val="24"/>
        </w:rPr>
      </w:pPr>
      <w:r w:rsidRPr="004E0663">
        <w:rPr>
          <w:rFonts w:eastAsia="MS Mincho"/>
          <w:sz w:val="24"/>
        </w:rPr>
        <w:t>FFS: Merging of the schemes</w:t>
      </w:r>
    </w:p>
    <w:p w:rsidR="003F2F64" w:rsidRPr="004E0663" w:rsidRDefault="003F2F64" w:rsidP="003F2F64">
      <w:pPr>
        <w:numPr>
          <w:ilvl w:val="0"/>
          <w:numId w:val="19"/>
        </w:numPr>
        <w:overflowPunct/>
        <w:autoSpaceDE/>
        <w:autoSpaceDN/>
        <w:adjustRightInd/>
        <w:spacing w:after="0"/>
        <w:textAlignment w:val="auto"/>
        <w:rPr>
          <w:rFonts w:eastAsia="MS Mincho"/>
          <w:sz w:val="24"/>
        </w:rPr>
      </w:pPr>
      <w:r w:rsidRPr="004E0663">
        <w:rPr>
          <w:rFonts w:eastAsia="MS Mincho"/>
          <w:sz w:val="24"/>
        </w:rPr>
        <w:t>Support rank determination by gNB</w:t>
      </w:r>
    </w:p>
    <w:p w:rsidR="003F2F64" w:rsidRPr="004E0663" w:rsidRDefault="003F2F64" w:rsidP="004E0663">
      <w:pPr>
        <w:overflowPunct/>
        <w:autoSpaceDE/>
        <w:autoSpaceDN/>
        <w:adjustRightInd/>
        <w:spacing w:after="0"/>
        <w:textAlignment w:val="auto"/>
        <w:rPr>
          <w:rFonts w:eastAsia="MS Mincho"/>
          <w:sz w:val="24"/>
        </w:rPr>
      </w:pPr>
    </w:p>
    <w:p w:rsidR="003F2F64" w:rsidRPr="004E0663" w:rsidRDefault="003F2F64" w:rsidP="003F2F64">
      <w:pPr>
        <w:numPr>
          <w:ilvl w:val="0"/>
          <w:numId w:val="19"/>
        </w:numPr>
        <w:overflowPunct/>
        <w:autoSpaceDE/>
        <w:autoSpaceDN/>
        <w:adjustRightInd/>
        <w:spacing w:after="0"/>
        <w:textAlignment w:val="auto"/>
        <w:rPr>
          <w:rFonts w:eastAsia="MS Mincho"/>
          <w:iCs/>
          <w:sz w:val="24"/>
          <w:lang w:eastAsia="ja-JP"/>
        </w:rPr>
      </w:pPr>
      <w:r w:rsidRPr="004E0663">
        <w:rPr>
          <w:rFonts w:eastAsia="MS Mincho"/>
          <w:iCs/>
          <w:sz w:val="24"/>
          <w:lang w:eastAsia="ja-JP"/>
        </w:rPr>
        <w:t>Codebook based transmission for UL is supported at least by following signaling in UL grant:</w:t>
      </w:r>
    </w:p>
    <w:p w:rsidR="003F2F64" w:rsidRPr="004E0663" w:rsidRDefault="003F2F64" w:rsidP="003F2F64">
      <w:pPr>
        <w:numPr>
          <w:ilvl w:val="1"/>
          <w:numId w:val="19"/>
        </w:numPr>
        <w:overflowPunct/>
        <w:autoSpaceDE/>
        <w:autoSpaceDN/>
        <w:adjustRightInd/>
        <w:spacing w:after="0"/>
        <w:textAlignment w:val="auto"/>
        <w:rPr>
          <w:rFonts w:eastAsia="MS Mincho"/>
          <w:iCs/>
          <w:sz w:val="24"/>
          <w:lang w:eastAsia="ja-JP"/>
        </w:rPr>
      </w:pPr>
      <w:r w:rsidRPr="004E0663">
        <w:rPr>
          <w:rFonts w:eastAsia="MS Mincho"/>
          <w:iCs/>
          <w:sz w:val="24"/>
          <w:lang w:eastAsia="ja-JP"/>
        </w:rPr>
        <w:t xml:space="preserve">SRI+TPMI+TRI, where </w:t>
      </w:r>
    </w:p>
    <w:p w:rsidR="003F2F64" w:rsidRPr="004E0663" w:rsidRDefault="003F2F64" w:rsidP="003F2F64">
      <w:pPr>
        <w:numPr>
          <w:ilvl w:val="2"/>
          <w:numId w:val="19"/>
        </w:numPr>
        <w:overflowPunct/>
        <w:autoSpaceDE/>
        <w:autoSpaceDN/>
        <w:adjustRightInd/>
        <w:spacing w:after="0"/>
        <w:textAlignment w:val="auto"/>
        <w:rPr>
          <w:rFonts w:eastAsia="MS Mincho"/>
          <w:iCs/>
          <w:sz w:val="24"/>
          <w:lang w:eastAsia="ja-JP"/>
        </w:rPr>
      </w:pPr>
      <w:r w:rsidRPr="004E0663">
        <w:rPr>
          <w:rFonts w:eastAsia="MS Mincho"/>
          <w:iCs/>
          <w:sz w:val="24"/>
          <w:lang w:eastAsia="ja-JP"/>
        </w:rPr>
        <w:t>The TPMI is used to indicate preferred precoder over the SRS ports in the selected SRS resource by the SRI.</w:t>
      </w:r>
    </w:p>
    <w:p w:rsidR="003F2F64" w:rsidRPr="004E0663" w:rsidRDefault="003F2F64" w:rsidP="003F2F64">
      <w:pPr>
        <w:numPr>
          <w:ilvl w:val="2"/>
          <w:numId w:val="19"/>
        </w:numPr>
        <w:overflowPunct/>
        <w:autoSpaceDE/>
        <w:autoSpaceDN/>
        <w:adjustRightInd/>
        <w:spacing w:after="0"/>
        <w:textAlignment w:val="auto"/>
        <w:rPr>
          <w:rFonts w:eastAsia="MS Mincho"/>
          <w:iCs/>
          <w:sz w:val="24"/>
          <w:lang w:eastAsia="ja-JP"/>
        </w:rPr>
      </w:pPr>
      <w:r w:rsidRPr="004E0663">
        <w:rPr>
          <w:rFonts w:eastAsia="MS Mincho"/>
          <w:iCs/>
          <w:sz w:val="24"/>
          <w:lang w:eastAsia="ja-JP"/>
        </w:rPr>
        <w:t>No SRI when a single SRS resource is configured</w:t>
      </w:r>
    </w:p>
    <w:p w:rsidR="003F2F64" w:rsidRPr="004E0663" w:rsidRDefault="003F2F64" w:rsidP="003F2F64">
      <w:pPr>
        <w:numPr>
          <w:ilvl w:val="3"/>
          <w:numId w:val="19"/>
        </w:numPr>
        <w:overflowPunct/>
        <w:autoSpaceDE/>
        <w:autoSpaceDN/>
        <w:adjustRightInd/>
        <w:spacing w:after="0"/>
        <w:textAlignment w:val="auto"/>
        <w:rPr>
          <w:rFonts w:eastAsia="MS Mincho"/>
          <w:iCs/>
          <w:sz w:val="24"/>
          <w:lang w:eastAsia="ja-JP"/>
        </w:rPr>
      </w:pPr>
      <w:r w:rsidRPr="004E0663">
        <w:rPr>
          <w:rFonts w:eastAsia="MS Mincho"/>
          <w:iCs/>
          <w:sz w:val="24"/>
          <w:lang w:eastAsia="ja-JP"/>
        </w:rPr>
        <w:t>The TPMI is used to indicate preferred precoder over the SRS ports in the configured single SRS resource.</w:t>
      </w:r>
    </w:p>
    <w:p w:rsidR="003F2F64" w:rsidRPr="004E0663" w:rsidRDefault="003F2F64" w:rsidP="003F2F64">
      <w:pPr>
        <w:numPr>
          <w:ilvl w:val="1"/>
          <w:numId w:val="19"/>
        </w:numPr>
        <w:overflowPunct/>
        <w:autoSpaceDE/>
        <w:autoSpaceDN/>
        <w:adjustRightInd/>
        <w:spacing w:after="0"/>
        <w:textAlignment w:val="auto"/>
        <w:rPr>
          <w:rFonts w:eastAsia="MS Mincho"/>
          <w:iCs/>
          <w:sz w:val="24"/>
          <w:lang w:eastAsia="ja-JP"/>
        </w:rPr>
      </w:pPr>
      <w:r w:rsidRPr="004E0663">
        <w:rPr>
          <w:rFonts w:eastAsia="MS Mincho"/>
          <w:iCs/>
          <w:sz w:val="24"/>
          <w:lang w:eastAsia="ja-JP"/>
        </w:rPr>
        <w:t xml:space="preserve">Support indication on selection of multiple SRS resources </w:t>
      </w:r>
    </w:p>
    <w:p w:rsidR="003F2F64" w:rsidRPr="004E0663" w:rsidRDefault="003F2F64" w:rsidP="003F2F64">
      <w:pPr>
        <w:numPr>
          <w:ilvl w:val="1"/>
          <w:numId w:val="19"/>
        </w:numPr>
        <w:overflowPunct/>
        <w:autoSpaceDE/>
        <w:autoSpaceDN/>
        <w:adjustRightInd/>
        <w:spacing w:after="0"/>
        <w:textAlignment w:val="auto"/>
        <w:rPr>
          <w:rFonts w:eastAsia="MS Mincho"/>
          <w:iCs/>
          <w:sz w:val="24"/>
          <w:lang w:eastAsia="ja-JP"/>
        </w:rPr>
      </w:pPr>
      <w:r w:rsidRPr="004E0663">
        <w:rPr>
          <w:rFonts w:eastAsia="MS Mincho"/>
          <w:iCs/>
          <w:sz w:val="24"/>
          <w:lang w:eastAsia="ja-JP"/>
        </w:rPr>
        <w:t>FFS details</w:t>
      </w:r>
    </w:p>
    <w:p w:rsidR="003F2F64" w:rsidRPr="003F2F64" w:rsidRDefault="003F2F64" w:rsidP="003F2F64">
      <w:pPr>
        <w:overflowPunct/>
        <w:autoSpaceDE/>
        <w:autoSpaceDN/>
        <w:adjustRightInd/>
        <w:spacing w:after="0"/>
        <w:ind w:left="1440"/>
        <w:textAlignment w:val="auto"/>
        <w:rPr>
          <w:rFonts w:eastAsia="MS Mincho"/>
          <w:iCs/>
          <w:lang w:eastAsia="ja-JP"/>
        </w:rPr>
      </w:pPr>
    </w:p>
    <w:p w:rsidR="00725535" w:rsidRDefault="00725535" w:rsidP="003F2F64">
      <w:pPr>
        <w:rPr>
          <w:rFonts w:eastAsia="MS Mincho"/>
          <w:iCs/>
          <w:sz w:val="24"/>
          <w:lang w:eastAsia="ja-JP"/>
        </w:rPr>
      </w:pPr>
      <w:r>
        <w:rPr>
          <w:rFonts w:eastAsia="MS Mincho"/>
          <w:iCs/>
          <w:sz w:val="24"/>
          <w:lang w:eastAsia="ja-JP"/>
        </w:rPr>
        <w:t xml:space="preserve">In RAN1 Adhoc#2, the following conclusions were made </w:t>
      </w:r>
    </w:p>
    <w:p w:rsidR="001A0F72" w:rsidRPr="00725535" w:rsidRDefault="001A0F72" w:rsidP="001A0F72">
      <w:pPr>
        <w:rPr>
          <w:rFonts w:eastAsia="MS Mincho"/>
          <w:b/>
          <w:iCs/>
          <w:sz w:val="24"/>
          <w:u w:val="single"/>
          <w:lang w:eastAsia="ja-JP"/>
        </w:rPr>
      </w:pPr>
      <w:r w:rsidRPr="00725535">
        <w:rPr>
          <w:rFonts w:eastAsia="MS Mincho"/>
          <w:b/>
          <w:iCs/>
          <w:sz w:val="24"/>
          <w:highlight w:val="green"/>
          <w:u w:val="single"/>
          <w:lang w:eastAsia="ja-JP"/>
        </w:rPr>
        <w:t>Agreements</w:t>
      </w:r>
      <w:r w:rsidRPr="00725535">
        <w:rPr>
          <w:rFonts w:eastAsia="MS Mincho"/>
          <w:b/>
          <w:iCs/>
          <w:sz w:val="24"/>
          <w:u w:val="single"/>
          <w:lang w:eastAsia="ja-JP"/>
        </w:rPr>
        <w:t>:</w:t>
      </w:r>
    </w:p>
    <w:p w:rsidR="001A0F72" w:rsidRPr="004E0663" w:rsidRDefault="001A0F72" w:rsidP="001A0F72">
      <w:pPr>
        <w:pStyle w:val="ListParagraph"/>
        <w:numPr>
          <w:ilvl w:val="0"/>
          <w:numId w:val="18"/>
        </w:numPr>
        <w:overflowPunct w:val="0"/>
        <w:autoSpaceDE w:val="0"/>
        <w:autoSpaceDN w:val="0"/>
        <w:adjustRightInd w:val="0"/>
        <w:spacing w:after="180"/>
        <w:contextualSpacing/>
        <w:textAlignment w:val="baseline"/>
        <w:rPr>
          <w:rFonts w:ascii="Times New Roman" w:eastAsia="MS Mincho" w:hAnsi="Times New Roman"/>
          <w:iCs/>
          <w:sz w:val="24"/>
        </w:rPr>
      </w:pPr>
      <w:r w:rsidRPr="004E0663">
        <w:rPr>
          <w:rFonts w:ascii="Times New Roman" w:eastAsia="MS Mincho" w:hAnsi="Times New Roman"/>
          <w:iCs/>
          <w:sz w:val="24"/>
        </w:rPr>
        <w:t xml:space="preserve">For PUSCH precoder determination in non-codebook-based UL MIMO, support at least one of the followings: </w:t>
      </w:r>
    </w:p>
    <w:p w:rsidR="001A0F72" w:rsidRPr="004E0663" w:rsidRDefault="001A0F72" w:rsidP="001A0F72">
      <w:pPr>
        <w:pStyle w:val="ListParagraph"/>
        <w:numPr>
          <w:ilvl w:val="1"/>
          <w:numId w:val="18"/>
        </w:numPr>
        <w:overflowPunct w:val="0"/>
        <w:autoSpaceDE w:val="0"/>
        <w:autoSpaceDN w:val="0"/>
        <w:adjustRightInd w:val="0"/>
        <w:spacing w:after="180"/>
        <w:contextualSpacing/>
        <w:textAlignment w:val="baseline"/>
        <w:rPr>
          <w:rFonts w:ascii="Times New Roman" w:eastAsia="MS Mincho" w:hAnsi="Times New Roman"/>
          <w:iCs/>
          <w:sz w:val="24"/>
        </w:rPr>
      </w:pPr>
      <w:r w:rsidRPr="004E0663">
        <w:rPr>
          <w:rFonts w:ascii="Times New Roman" w:eastAsia="MS Mincho" w:hAnsi="Times New Roman"/>
          <w:iCs/>
          <w:sz w:val="24"/>
        </w:rPr>
        <w:lastRenderedPageBreak/>
        <w:t>Alt.1: Signalling of SRI(s) only, without TPMI indication in the UL grant</w:t>
      </w:r>
    </w:p>
    <w:p w:rsidR="001A0F72" w:rsidRPr="004E0663" w:rsidRDefault="001A0F72" w:rsidP="001A0F72">
      <w:pPr>
        <w:pStyle w:val="ListParagraph"/>
        <w:numPr>
          <w:ilvl w:val="1"/>
          <w:numId w:val="18"/>
        </w:numPr>
        <w:overflowPunct w:val="0"/>
        <w:autoSpaceDE w:val="0"/>
        <w:autoSpaceDN w:val="0"/>
        <w:adjustRightInd w:val="0"/>
        <w:spacing w:after="180"/>
        <w:contextualSpacing/>
        <w:textAlignment w:val="baseline"/>
        <w:rPr>
          <w:rFonts w:ascii="Times New Roman" w:eastAsia="MS Mincho" w:hAnsi="Times New Roman"/>
          <w:iCs/>
          <w:sz w:val="24"/>
        </w:rPr>
      </w:pPr>
      <w:r w:rsidRPr="004E0663">
        <w:rPr>
          <w:rFonts w:ascii="Times New Roman" w:eastAsia="MS Mincho" w:hAnsi="Times New Roman"/>
          <w:iCs/>
          <w:sz w:val="24"/>
        </w:rPr>
        <w:t>Alt.2: Signalling of TRI only, without TPMI indication in the UL grant</w:t>
      </w:r>
    </w:p>
    <w:p w:rsidR="001A0F72" w:rsidRPr="004E0663" w:rsidRDefault="001A0F72" w:rsidP="001A0F72">
      <w:pPr>
        <w:pStyle w:val="ListParagraph"/>
        <w:numPr>
          <w:ilvl w:val="1"/>
          <w:numId w:val="18"/>
        </w:numPr>
        <w:overflowPunct w:val="0"/>
        <w:autoSpaceDE w:val="0"/>
        <w:autoSpaceDN w:val="0"/>
        <w:adjustRightInd w:val="0"/>
        <w:spacing w:after="180"/>
        <w:contextualSpacing/>
        <w:textAlignment w:val="baseline"/>
        <w:rPr>
          <w:rFonts w:ascii="Times New Roman" w:eastAsia="MS Mincho" w:hAnsi="Times New Roman"/>
          <w:iCs/>
          <w:sz w:val="24"/>
        </w:rPr>
      </w:pPr>
      <w:r w:rsidRPr="004E0663">
        <w:rPr>
          <w:rFonts w:ascii="Times New Roman" w:eastAsia="MS Mincho" w:hAnsi="Times New Roman"/>
          <w:iCs/>
          <w:sz w:val="24"/>
        </w:rPr>
        <w:t>Alt.3: Signalling of TRI and a single SRI, without TPMI indication in the UL grant</w:t>
      </w:r>
    </w:p>
    <w:p w:rsidR="001A0F72" w:rsidRPr="004E0663" w:rsidRDefault="001A0F72" w:rsidP="001A0F72">
      <w:pPr>
        <w:pStyle w:val="ListParagraph"/>
        <w:numPr>
          <w:ilvl w:val="1"/>
          <w:numId w:val="18"/>
        </w:numPr>
        <w:overflowPunct w:val="0"/>
        <w:autoSpaceDE w:val="0"/>
        <w:autoSpaceDN w:val="0"/>
        <w:adjustRightInd w:val="0"/>
        <w:spacing w:after="180"/>
        <w:contextualSpacing/>
        <w:textAlignment w:val="baseline"/>
        <w:rPr>
          <w:rFonts w:ascii="Times New Roman" w:eastAsia="MS Mincho" w:hAnsi="Times New Roman"/>
          <w:iCs/>
          <w:sz w:val="24"/>
        </w:rPr>
      </w:pPr>
      <w:r w:rsidRPr="004E0663">
        <w:rPr>
          <w:rFonts w:ascii="Times New Roman" w:eastAsia="MS Mincho" w:hAnsi="Times New Roman"/>
          <w:iCs/>
          <w:sz w:val="24"/>
        </w:rPr>
        <w:t>Alt. 4: signalling of a single TRI, a single CRI without TPMI indication in the UL grant</w:t>
      </w:r>
    </w:p>
    <w:p w:rsidR="001A0F72" w:rsidRPr="004E0663" w:rsidRDefault="001A0F72" w:rsidP="001A0F72">
      <w:pPr>
        <w:pStyle w:val="ListParagraph"/>
        <w:numPr>
          <w:ilvl w:val="1"/>
          <w:numId w:val="18"/>
        </w:numPr>
        <w:overflowPunct w:val="0"/>
        <w:autoSpaceDE w:val="0"/>
        <w:autoSpaceDN w:val="0"/>
        <w:adjustRightInd w:val="0"/>
        <w:spacing w:after="180"/>
        <w:contextualSpacing/>
        <w:textAlignment w:val="baseline"/>
        <w:rPr>
          <w:rFonts w:ascii="Times New Roman" w:eastAsia="MS Mincho" w:hAnsi="Times New Roman"/>
          <w:iCs/>
          <w:sz w:val="24"/>
        </w:rPr>
      </w:pPr>
      <w:r w:rsidRPr="004E0663">
        <w:rPr>
          <w:rFonts w:ascii="Times New Roman" w:eastAsia="MS Mincho" w:hAnsi="Times New Roman"/>
          <w:iCs/>
          <w:sz w:val="24"/>
        </w:rPr>
        <w:t>To down-select in the next meeting considering single- vs. multi-panel (companies are encouraged to perform more evaluations)</w:t>
      </w:r>
    </w:p>
    <w:p w:rsidR="001A0F72" w:rsidRPr="004E0663" w:rsidRDefault="001A0F72" w:rsidP="001A0F72">
      <w:pPr>
        <w:pStyle w:val="ListParagraph"/>
        <w:numPr>
          <w:ilvl w:val="1"/>
          <w:numId w:val="18"/>
        </w:numPr>
        <w:overflowPunct w:val="0"/>
        <w:autoSpaceDE w:val="0"/>
        <w:autoSpaceDN w:val="0"/>
        <w:adjustRightInd w:val="0"/>
        <w:spacing w:after="180"/>
        <w:contextualSpacing/>
        <w:textAlignment w:val="baseline"/>
        <w:rPr>
          <w:rFonts w:ascii="Times New Roman" w:eastAsia="MS Mincho" w:hAnsi="Times New Roman"/>
          <w:iCs/>
          <w:sz w:val="24"/>
        </w:rPr>
      </w:pPr>
      <w:r w:rsidRPr="004E0663">
        <w:rPr>
          <w:rFonts w:ascii="Times New Roman" w:eastAsia="MS Mincho" w:hAnsi="Times New Roman"/>
          <w:iCs/>
          <w:sz w:val="24"/>
        </w:rPr>
        <w:t>Note: this may depend UE’s capability in terms of calibration</w:t>
      </w:r>
    </w:p>
    <w:p w:rsidR="00E11C1C" w:rsidRPr="001A0F72" w:rsidRDefault="00E11C1C" w:rsidP="00E11C1C">
      <w:pPr>
        <w:overflowPunct/>
        <w:autoSpaceDE/>
        <w:autoSpaceDN/>
        <w:adjustRightInd/>
        <w:spacing w:after="0"/>
        <w:textAlignment w:val="auto"/>
        <w:rPr>
          <w:rFonts w:eastAsia="MS Mincho"/>
          <w:sz w:val="24"/>
          <w:szCs w:val="24"/>
          <w:lang w:eastAsia="ja-JP"/>
        </w:rPr>
      </w:pPr>
    </w:p>
    <w:p w:rsidR="00B15A0C" w:rsidRDefault="00A64D84" w:rsidP="00B15A0C">
      <w:pPr>
        <w:overflowPunct/>
        <w:autoSpaceDE/>
        <w:autoSpaceDN/>
        <w:adjustRightInd/>
        <w:spacing w:after="0"/>
        <w:jc w:val="both"/>
        <w:textAlignment w:val="auto"/>
        <w:rPr>
          <w:sz w:val="24"/>
          <w:szCs w:val="24"/>
        </w:rPr>
      </w:pPr>
      <w:r>
        <w:rPr>
          <w:rFonts w:eastAsia="MS Mincho"/>
          <w:sz w:val="24"/>
          <w:szCs w:val="24"/>
          <w:lang w:eastAsia="ja-JP"/>
        </w:rPr>
        <w:t xml:space="preserve">In this contribution </w:t>
      </w:r>
      <w:r w:rsidR="00154E1E">
        <w:rPr>
          <w:rFonts w:eastAsia="MS Mincho"/>
          <w:sz w:val="24"/>
          <w:szCs w:val="24"/>
          <w:lang w:eastAsia="ja-JP"/>
        </w:rPr>
        <w:t>we describe</w:t>
      </w:r>
      <w:r w:rsidR="00533DC1">
        <w:rPr>
          <w:rFonts w:eastAsia="MS Mincho"/>
          <w:sz w:val="24"/>
          <w:szCs w:val="24"/>
          <w:lang w:eastAsia="ja-JP"/>
        </w:rPr>
        <w:t xml:space="preserve"> our views on</w:t>
      </w:r>
      <w:r w:rsidR="001A0F72">
        <w:rPr>
          <w:rFonts w:eastAsia="MS Mincho"/>
          <w:sz w:val="24"/>
          <w:szCs w:val="24"/>
          <w:lang w:eastAsia="ja-JP"/>
        </w:rPr>
        <w:t xml:space="preserve"> non-</w:t>
      </w:r>
      <w:r w:rsidR="003F2F64">
        <w:rPr>
          <w:rFonts w:eastAsia="MS Mincho"/>
          <w:sz w:val="24"/>
          <w:szCs w:val="24"/>
          <w:lang w:eastAsia="ja-JP"/>
        </w:rPr>
        <w:t>codebook based</w:t>
      </w:r>
      <w:r w:rsidR="001A0F72">
        <w:rPr>
          <w:rFonts w:eastAsia="MS Mincho"/>
          <w:sz w:val="24"/>
          <w:szCs w:val="24"/>
          <w:lang w:eastAsia="ja-JP"/>
        </w:rPr>
        <w:t xml:space="preserve"> </w:t>
      </w:r>
      <w:r w:rsidR="00725535">
        <w:rPr>
          <w:rFonts w:eastAsia="MS Mincho"/>
          <w:sz w:val="24"/>
          <w:szCs w:val="24"/>
          <w:lang w:eastAsia="ja-JP"/>
        </w:rPr>
        <w:t>Uplink MIMO</w:t>
      </w:r>
      <w:r w:rsidR="005E54E7">
        <w:rPr>
          <w:rFonts w:eastAsia="MS Mincho"/>
          <w:sz w:val="24"/>
          <w:szCs w:val="24"/>
          <w:lang w:eastAsia="ja-JP"/>
        </w:rPr>
        <w:t>.</w:t>
      </w:r>
    </w:p>
    <w:p w:rsidR="00AC77F9" w:rsidRDefault="00725535" w:rsidP="001D7377">
      <w:pPr>
        <w:pStyle w:val="Heading1"/>
      </w:pPr>
      <w:r>
        <w:t xml:space="preserve"> </w:t>
      </w:r>
      <w:r w:rsidR="00AC77F9">
        <w:t xml:space="preserve">Views on </w:t>
      </w:r>
      <w:r w:rsidR="004E0663">
        <w:t xml:space="preserve">Non codebook based </w:t>
      </w:r>
      <w:r>
        <w:t xml:space="preserve">Uplink </w:t>
      </w:r>
      <w:r w:rsidR="00AC77F9">
        <w:t xml:space="preserve">MIMO </w:t>
      </w:r>
    </w:p>
    <w:p w:rsidR="004E0663" w:rsidRDefault="00AC77F9" w:rsidP="004E0663">
      <w:pPr>
        <w:overflowPunct/>
        <w:autoSpaceDE/>
        <w:autoSpaceDN/>
        <w:adjustRightInd/>
        <w:spacing w:after="0"/>
        <w:jc w:val="both"/>
        <w:textAlignment w:val="auto"/>
        <w:rPr>
          <w:color w:val="222222"/>
          <w:sz w:val="24"/>
          <w:shd w:val="clear" w:color="auto" w:fill="FFFFFF"/>
        </w:rPr>
      </w:pPr>
      <w:bookmarkStart w:id="2" w:name="_Ref378529477"/>
      <w:r w:rsidRPr="00AC77F9">
        <w:rPr>
          <w:color w:val="222222"/>
          <w:sz w:val="24"/>
          <w:shd w:val="clear" w:color="auto" w:fill="FFFFFF"/>
        </w:rPr>
        <w:t xml:space="preserve">In our view, </w:t>
      </w:r>
      <w:r w:rsidR="004E0663">
        <w:rPr>
          <w:color w:val="222222"/>
          <w:sz w:val="24"/>
          <w:shd w:val="clear" w:color="auto" w:fill="FFFFFF"/>
        </w:rPr>
        <w:t xml:space="preserve">Non codebook based uplink MIMO should be part of codebook uplink MIMO where the PMI indication in the DCI is switched off. Since the DMRS is also precoded at the UE, the UE is free to choose its own precoder without any network assistance.  </w:t>
      </w:r>
    </w:p>
    <w:p w:rsidR="004E0663" w:rsidRDefault="004E0663" w:rsidP="004E0663">
      <w:pPr>
        <w:overflowPunct/>
        <w:autoSpaceDE/>
        <w:autoSpaceDN/>
        <w:adjustRightInd/>
        <w:spacing w:after="0"/>
        <w:jc w:val="both"/>
        <w:textAlignment w:val="auto"/>
        <w:rPr>
          <w:color w:val="222222"/>
          <w:sz w:val="24"/>
          <w:shd w:val="clear" w:color="auto" w:fill="FFFFFF"/>
        </w:rPr>
      </w:pPr>
    </w:p>
    <w:p w:rsidR="004E0663" w:rsidRDefault="004E0663" w:rsidP="004E0663">
      <w:pPr>
        <w:overflowPunct/>
        <w:autoSpaceDE/>
        <w:autoSpaceDN/>
        <w:adjustRightInd/>
        <w:spacing w:after="0"/>
        <w:textAlignment w:val="auto"/>
        <w:rPr>
          <w:b/>
          <w:sz w:val="24"/>
        </w:rPr>
      </w:pPr>
      <w:r w:rsidRPr="00431DD2">
        <w:rPr>
          <w:b/>
          <w:sz w:val="24"/>
          <w:lang w:val="en-GB"/>
        </w:rPr>
        <w:t xml:space="preserve">Proposal 1: </w:t>
      </w:r>
      <w:r>
        <w:rPr>
          <w:b/>
          <w:sz w:val="24"/>
        </w:rPr>
        <w:t>Non-codebook based UL MIMO should be part of codebook based UL MIMO where the PMI indication is switched off in the DCI.</w:t>
      </w:r>
      <w:r w:rsidRPr="00431DD2">
        <w:rPr>
          <w:b/>
          <w:sz w:val="24"/>
        </w:rPr>
        <w:t xml:space="preserve"> </w:t>
      </w:r>
    </w:p>
    <w:p w:rsidR="004E0663" w:rsidRDefault="004E0663" w:rsidP="00533DC1">
      <w:pPr>
        <w:overflowPunct/>
        <w:autoSpaceDE/>
        <w:autoSpaceDN/>
        <w:adjustRightInd/>
        <w:spacing w:after="0"/>
        <w:textAlignment w:val="auto"/>
        <w:rPr>
          <w:color w:val="222222"/>
          <w:sz w:val="24"/>
          <w:shd w:val="clear" w:color="auto" w:fill="FFFFFF"/>
        </w:rPr>
      </w:pPr>
    </w:p>
    <w:p w:rsidR="00AC77F9" w:rsidRDefault="004E0663" w:rsidP="004E0663">
      <w:pPr>
        <w:overflowPunct/>
        <w:autoSpaceDE/>
        <w:autoSpaceDN/>
        <w:adjustRightInd/>
        <w:spacing w:after="0"/>
        <w:jc w:val="both"/>
        <w:textAlignment w:val="auto"/>
        <w:rPr>
          <w:color w:val="222222"/>
          <w:sz w:val="24"/>
          <w:shd w:val="clear" w:color="auto" w:fill="FFFFFF"/>
        </w:rPr>
      </w:pPr>
      <w:r>
        <w:rPr>
          <w:color w:val="222222"/>
          <w:sz w:val="24"/>
          <w:shd w:val="clear" w:color="auto" w:fill="FFFFFF"/>
        </w:rPr>
        <w:t xml:space="preserve">In addition, we envision, </w:t>
      </w:r>
      <w:r w:rsidR="00AC77F9" w:rsidRPr="00AC77F9">
        <w:rPr>
          <w:color w:val="222222"/>
          <w:sz w:val="24"/>
          <w:shd w:val="clear" w:color="auto" w:fill="FFFFFF"/>
        </w:rPr>
        <w:t>two transmit antennas at the UE will be widely deployed for uplink MIMO. </w:t>
      </w:r>
      <w:r>
        <w:rPr>
          <w:color w:val="222222"/>
          <w:sz w:val="24"/>
          <w:shd w:val="clear" w:color="auto" w:fill="FFFFFF"/>
        </w:rPr>
        <w:t xml:space="preserve"> For 2 transmit antennas, the throughput difference between code book based UL MIMO and SVD based MIMO is very small.  However, with 4 transmit antennas the difference between SVD and the codebook based MIMO might be large. Hence we prefer to support non codebook based UL MIMO only when the number of ports are greater than 2.</w:t>
      </w:r>
      <w:r w:rsidR="00AC77F9" w:rsidRPr="00AC77F9">
        <w:rPr>
          <w:color w:val="222222"/>
          <w:sz w:val="24"/>
          <w:shd w:val="clear" w:color="auto" w:fill="FFFFFF"/>
        </w:rPr>
        <w:t> </w:t>
      </w:r>
      <w:r w:rsidR="001C1CC2">
        <w:rPr>
          <w:color w:val="222222"/>
          <w:sz w:val="24"/>
          <w:shd w:val="clear" w:color="auto" w:fill="FFFFFF"/>
        </w:rPr>
        <w:t xml:space="preserve"> </w:t>
      </w:r>
    </w:p>
    <w:p w:rsidR="00AC77F9" w:rsidRPr="00AC77F9" w:rsidRDefault="00AC77F9" w:rsidP="00533DC1">
      <w:pPr>
        <w:overflowPunct/>
        <w:autoSpaceDE/>
        <w:autoSpaceDN/>
        <w:adjustRightInd/>
        <w:spacing w:after="0"/>
        <w:textAlignment w:val="auto"/>
        <w:rPr>
          <w:color w:val="222222"/>
          <w:sz w:val="24"/>
          <w:shd w:val="clear" w:color="auto" w:fill="FFFFFF"/>
        </w:rPr>
      </w:pPr>
    </w:p>
    <w:p w:rsidR="00533DC1" w:rsidRDefault="004E0663" w:rsidP="00533DC1">
      <w:pPr>
        <w:overflowPunct/>
        <w:autoSpaceDE/>
        <w:autoSpaceDN/>
        <w:adjustRightInd/>
        <w:spacing w:after="0"/>
        <w:textAlignment w:val="auto"/>
        <w:rPr>
          <w:b/>
          <w:sz w:val="24"/>
        </w:rPr>
      </w:pPr>
      <w:r>
        <w:rPr>
          <w:b/>
          <w:sz w:val="24"/>
          <w:lang w:val="en-GB"/>
        </w:rPr>
        <w:t>Proposal 2</w:t>
      </w:r>
      <w:r w:rsidR="00533DC1" w:rsidRPr="00431DD2">
        <w:rPr>
          <w:b/>
          <w:sz w:val="24"/>
          <w:lang w:val="en-GB"/>
        </w:rPr>
        <w:t xml:space="preserve">: </w:t>
      </w:r>
      <w:r w:rsidR="007C69A9">
        <w:rPr>
          <w:b/>
          <w:sz w:val="24"/>
          <w:lang w:val="en-GB"/>
        </w:rPr>
        <w:t>S</w:t>
      </w:r>
      <w:r>
        <w:rPr>
          <w:b/>
          <w:sz w:val="24"/>
          <w:lang w:val="en-GB"/>
        </w:rPr>
        <w:t>upport of non – codebook based MIMO when the number of antenna ports are larger than 2.</w:t>
      </w:r>
    </w:p>
    <w:p w:rsidR="002E04CB" w:rsidRPr="00261900" w:rsidRDefault="002E04CB" w:rsidP="003F25DD">
      <w:pPr>
        <w:keepNext/>
        <w:jc w:val="both"/>
        <w:rPr>
          <w:rFonts w:eastAsia="Calibri"/>
          <w:sz w:val="24"/>
          <w:szCs w:val="24"/>
        </w:rPr>
      </w:pPr>
    </w:p>
    <w:p w:rsidR="001D7377" w:rsidRDefault="001D7377" w:rsidP="001D7377">
      <w:pPr>
        <w:pStyle w:val="Heading1"/>
      </w:pPr>
      <w:bookmarkStart w:id="3" w:name="_Toc424303267"/>
      <w:bookmarkStart w:id="4" w:name="_Toc425248865"/>
      <w:bookmarkStart w:id="5" w:name="_Toc425344835"/>
      <w:bookmarkStart w:id="6" w:name="_Toc425350726"/>
      <w:bookmarkStart w:id="7" w:name="_Toc425501584"/>
      <w:bookmarkStart w:id="8" w:name="_Toc425504168"/>
      <w:r>
        <w:t>Conclusions</w:t>
      </w:r>
    </w:p>
    <w:p w:rsidR="001D7377" w:rsidRDefault="00183B2D" w:rsidP="006C47A9">
      <w:pPr>
        <w:jc w:val="both"/>
        <w:rPr>
          <w:sz w:val="24"/>
          <w:szCs w:val="24"/>
          <w:lang w:val="en-GB"/>
        </w:rPr>
      </w:pPr>
      <w:r w:rsidRPr="00183B2D">
        <w:rPr>
          <w:sz w:val="24"/>
          <w:szCs w:val="24"/>
          <w:lang w:val="en-GB"/>
        </w:rPr>
        <w:t xml:space="preserve">In this </w:t>
      </w:r>
      <w:r w:rsidR="00C5528E" w:rsidRPr="00183B2D">
        <w:rPr>
          <w:sz w:val="24"/>
          <w:szCs w:val="24"/>
          <w:lang w:val="en-GB"/>
        </w:rPr>
        <w:t>contribution,</w:t>
      </w:r>
      <w:r w:rsidRPr="00183B2D">
        <w:rPr>
          <w:sz w:val="24"/>
          <w:szCs w:val="24"/>
          <w:lang w:val="en-GB"/>
        </w:rPr>
        <w:t xml:space="preserve"> </w:t>
      </w:r>
      <w:r>
        <w:rPr>
          <w:sz w:val="24"/>
          <w:szCs w:val="24"/>
          <w:lang w:val="en-GB"/>
        </w:rPr>
        <w:t xml:space="preserve">we </w:t>
      </w:r>
      <w:bookmarkEnd w:id="3"/>
      <w:bookmarkEnd w:id="4"/>
      <w:bookmarkEnd w:id="5"/>
      <w:bookmarkEnd w:id="6"/>
      <w:bookmarkEnd w:id="7"/>
      <w:bookmarkEnd w:id="8"/>
      <w:r w:rsidR="00C5528E">
        <w:rPr>
          <w:sz w:val="24"/>
          <w:szCs w:val="24"/>
          <w:lang w:val="en-GB"/>
        </w:rPr>
        <w:t xml:space="preserve">provide our views on </w:t>
      </w:r>
      <w:r w:rsidR="00DE265F">
        <w:rPr>
          <w:sz w:val="24"/>
          <w:szCs w:val="24"/>
          <w:lang w:val="en-GB"/>
        </w:rPr>
        <w:t xml:space="preserve">codebook based MIMO schemes </w:t>
      </w:r>
      <w:r w:rsidR="0051324A">
        <w:rPr>
          <w:sz w:val="24"/>
          <w:szCs w:val="24"/>
          <w:lang w:val="en-GB"/>
        </w:rPr>
        <w:t>for uplink</w:t>
      </w:r>
      <w:r w:rsidR="00C5528E">
        <w:rPr>
          <w:sz w:val="24"/>
          <w:szCs w:val="24"/>
          <w:lang w:val="en-GB"/>
        </w:rPr>
        <w:t xml:space="preserve">. </w:t>
      </w:r>
      <w:r w:rsidR="001D7377" w:rsidRPr="005C1BF7">
        <w:rPr>
          <w:sz w:val="24"/>
          <w:szCs w:val="24"/>
          <w:lang w:val="en-GB"/>
        </w:rPr>
        <w:t>B</w:t>
      </w:r>
      <w:r w:rsidR="00FD18E4">
        <w:rPr>
          <w:sz w:val="24"/>
          <w:szCs w:val="24"/>
          <w:lang w:val="en-GB"/>
        </w:rPr>
        <w:t>ased on our</w:t>
      </w:r>
      <w:r w:rsidR="001D7377" w:rsidRPr="005C1BF7">
        <w:rPr>
          <w:sz w:val="24"/>
          <w:szCs w:val="24"/>
          <w:lang w:val="en-GB"/>
        </w:rPr>
        <w:t xml:space="preserve"> observations, we have the following proposal:</w:t>
      </w:r>
    </w:p>
    <w:p w:rsidR="007C69A9" w:rsidRDefault="007C69A9" w:rsidP="007C69A9">
      <w:pPr>
        <w:overflowPunct/>
        <w:autoSpaceDE/>
        <w:autoSpaceDN/>
        <w:adjustRightInd/>
        <w:spacing w:after="0"/>
        <w:textAlignment w:val="auto"/>
        <w:rPr>
          <w:b/>
          <w:sz w:val="24"/>
        </w:rPr>
      </w:pPr>
      <w:r w:rsidRPr="00431DD2">
        <w:rPr>
          <w:b/>
          <w:sz w:val="24"/>
          <w:lang w:val="en-GB"/>
        </w:rPr>
        <w:t xml:space="preserve">Proposal 1: </w:t>
      </w:r>
      <w:r>
        <w:rPr>
          <w:b/>
          <w:sz w:val="24"/>
        </w:rPr>
        <w:t>Non-codebook based UL MIMO should be part of codebook based UL MIMO where the PMI indication is switched off in the DCI.</w:t>
      </w:r>
      <w:r w:rsidRPr="00431DD2">
        <w:rPr>
          <w:b/>
          <w:sz w:val="24"/>
        </w:rPr>
        <w:t xml:space="preserve"> </w:t>
      </w:r>
    </w:p>
    <w:p w:rsidR="00DE265F" w:rsidRPr="007C69A9" w:rsidRDefault="00DE265F" w:rsidP="00DE265F">
      <w:pPr>
        <w:overflowPunct/>
        <w:autoSpaceDE/>
        <w:autoSpaceDN/>
        <w:adjustRightInd/>
        <w:spacing w:after="0"/>
        <w:textAlignment w:val="auto"/>
        <w:rPr>
          <w:b/>
          <w:sz w:val="24"/>
        </w:rPr>
      </w:pPr>
    </w:p>
    <w:p w:rsidR="007C69A9" w:rsidRDefault="007C69A9" w:rsidP="007C69A9">
      <w:pPr>
        <w:overflowPunct/>
        <w:autoSpaceDE/>
        <w:autoSpaceDN/>
        <w:adjustRightInd/>
        <w:spacing w:after="0"/>
        <w:textAlignment w:val="auto"/>
        <w:rPr>
          <w:b/>
          <w:sz w:val="24"/>
        </w:rPr>
      </w:pPr>
      <w:bookmarkStart w:id="9" w:name="_Ref450342757"/>
      <w:bookmarkEnd w:id="2"/>
      <w:r>
        <w:rPr>
          <w:b/>
          <w:sz w:val="24"/>
          <w:lang w:val="en-GB"/>
        </w:rPr>
        <w:t>Proposal 2</w:t>
      </w:r>
      <w:r w:rsidRPr="00431DD2">
        <w:rPr>
          <w:b/>
          <w:sz w:val="24"/>
          <w:lang w:val="en-GB"/>
        </w:rPr>
        <w:t xml:space="preserve">: </w:t>
      </w:r>
      <w:r>
        <w:rPr>
          <w:b/>
          <w:sz w:val="24"/>
          <w:lang w:val="en-GB"/>
        </w:rPr>
        <w:t>S</w:t>
      </w:r>
      <w:r>
        <w:rPr>
          <w:b/>
          <w:sz w:val="24"/>
          <w:lang w:val="en-GB"/>
        </w:rPr>
        <w:t>upport of non – codebook based MIMO when the number of antenna ports are larger than 2.</w:t>
      </w:r>
    </w:p>
    <w:p w:rsidR="00DE265F" w:rsidRPr="007C69A9" w:rsidRDefault="00DE265F" w:rsidP="00DE265F">
      <w:pPr>
        <w:overflowPunct/>
        <w:autoSpaceDE/>
        <w:autoSpaceDN/>
        <w:adjustRightInd/>
        <w:spacing w:after="0"/>
        <w:textAlignment w:val="auto"/>
        <w:rPr>
          <w:b/>
          <w:sz w:val="24"/>
        </w:rPr>
      </w:pPr>
    </w:p>
    <w:p w:rsidR="0051324A" w:rsidRDefault="0051324A" w:rsidP="0051324A">
      <w:pPr>
        <w:spacing w:after="0"/>
        <w:jc w:val="both"/>
        <w:rPr>
          <w:b/>
          <w:sz w:val="24"/>
          <w:lang w:val="en-GB"/>
        </w:rPr>
      </w:pPr>
      <w:r>
        <w:rPr>
          <w:b/>
          <w:sz w:val="24"/>
          <w:lang w:val="en-GB"/>
        </w:rPr>
        <w:t xml:space="preserve"> </w:t>
      </w:r>
    </w:p>
    <w:p w:rsidR="0011195C" w:rsidRPr="00DE265F" w:rsidRDefault="0011195C" w:rsidP="0051324A">
      <w:pPr>
        <w:spacing w:after="0"/>
        <w:jc w:val="both"/>
        <w:rPr>
          <w:b/>
          <w:sz w:val="24"/>
        </w:rPr>
      </w:pPr>
      <w:bookmarkStart w:id="10" w:name="_GoBack"/>
      <w:bookmarkEnd w:id="10"/>
    </w:p>
    <w:p w:rsidR="00B47DC1" w:rsidRPr="0051324A" w:rsidRDefault="00B47DC1" w:rsidP="00B47DC1">
      <w:pPr>
        <w:pStyle w:val="ListParagraph"/>
        <w:ind w:left="567"/>
        <w:rPr>
          <w:rFonts w:ascii="Times New Roman" w:eastAsia="SimSun" w:hAnsi="Times New Roman"/>
          <w:sz w:val="24"/>
          <w:szCs w:val="24"/>
          <w:lang w:val="en-GB"/>
        </w:rPr>
      </w:pPr>
    </w:p>
    <w:p w:rsidR="008F49D1" w:rsidRPr="000F70D6" w:rsidRDefault="008F49D1" w:rsidP="00474038">
      <w:pPr>
        <w:pStyle w:val="ListParagraph"/>
        <w:ind w:left="567"/>
        <w:rPr>
          <w:rFonts w:ascii="Times New Roman" w:eastAsia="SimSun" w:hAnsi="Times New Roman"/>
          <w:sz w:val="24"/>
          <w:szCs w:val="24"/>
        </w:rPr>
      </w:pPr>
    </w:p>
    <w:bookmarkEnd w:id="9"/>
    <w:p w:rsidR="001D7377" w:rsidRPr="00F51ABC" w:rsidRDefault="001D7377" w:rsidP="001D7377">
      <w:pPr>
        <w:rPr>
          <w:color w:val="FF0000"/>
          <w:lang w:val="en-GB"/>
        </w:rPr>
      </w:pPr>
    </w:p>
    <w:p w:rsidR="0076369B" w:rsidRPr="001D7377" w:rsidRDefault="0076369B">
      <w:pPr>
        <w:rPr>
          <w:lang w:val="en-GB"/>
        </w:rPr>
      </w:pPr>
    </w:p>
    <w:sectPr w:rsidR="0076369B" w:rsidRPr="001D7377" w:rsidSect="001D7377">
      <w:headerReference w:type="even" r:id="rId8"/>
      <w:footerReference w:type="even" r:id="rId9"/>
      <w:footerReference w:type="default" r:id="rId10"/>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91C74" w:rsidRDefault="00991C74" w:rsidP="00A03DF3">
      <w:pPr>
        <w:spacing w:after="0"/>
      </w:pPr>
      <w:r>
        <w:separator/>
      </w:r>
    </w:p>
  </w:endnote>
  <w:endnote w:type="continuationSeparator" w:id="0">
    <w:p w:rsidR="00991C74" w:rsidRDefault="00991C74"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09E5" w:rsidRDefault="003709E5"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709E5" w:rsidRDefault="003709E5"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09E5" w:rsidRDefault="003709E5"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425681">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25681">
      <w:rPr>
        <w:rStyle w:val="PageNumber"/>
      </w:rPr>
      <w:t>2</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91C74" w:rsidRDefault="00991C74" w:rsidP="00A03DF3">
      <w:pPr>
        <w:spacing w:after="0"/>
      </w:pPr>
      <w:r>
        <w:separator/>
      </w:r>
    </w:p>
  </w:footnote>
  <w:footnote w:type="continuationSeparator" w:id="0">
    <w:p w:rsidR="00991C74" w:rsidRDefault="00991C74"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09E5" w:rsidRDefault="003709E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14121CC"/>
    <w:multiLevelType w:val="hybridMultilevel"/>
    <w:tmpl w:val="69F09F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154C50"/>
    <w:multiLevelType w:val="hybridMultilevel"/>
    <w:tmpl w:val="C06C70EA"/>
    <w:lvl w:ilvl="0" w:tplc="04090005">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DD72E3AA">
      <w:numFmt w:val="bullet"/>
      <w:lvlText w:val="-"/>
      <w:lvlJc w:val="left"/>
      <w:pPr>
        <w:ind w:left="2360" w:hanging="360"/>
      </w:pPr>
      <w:rPr>
        <w:rFonts w:ascii="Times New Roman" w:eastAsia="Malgun Gothic" w:hAnsi="Times New Roman" w:cs="Times New Roman"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82322A7"/>
    <w:multiLevelType w:val="hybridMultilevel"/>
    <w:tmpl w:val="4460A2D4"/>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2A54F5D"/>
    <w:multiLevelType w:val="hybridMultilevel"/>
    <w:tmpl w:val="EF4CBF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064984"/>
    <w:multiLevelType w:val="hybridMultilevel"/>
    <w:tmpl w:val="AC7481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39518B9"/>
    <w:multiLevelType w:val="hybridMultilevel"/>
    <w:tmpl w:val="357AE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6CB185B"/>
    <w:multiLevelType w:val="hybridMultilevel"/>
    <w:tmpl w:val="719E13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DFC0F7B"/>
    <w:multiLevelType w:val="hybridMultilevel"/>
    <w:tmpl w:val="16D2BEB0"/>
    <w:lvl w:ilvl="0" w:tplc="F33E3A52">
      <w:start w:val="1"/>
      <w:numFmt w:val="bullet"/>
      <w:lvlText w:val="•"/>
      <w:lvlJc w:val="left"/>
      <w:pPr>
        <w:tabs>
          <w:tab w:val="num" w:pos="720"/>
        </w:tabs>
        <w:ind w:left="720" w:hanging="360"/>
      </w:pPr>
      <w:rPr>
        <w:rFonts w:ascii="Arial" w:hAnsi="Arial" w:hint="default"/>
      </w:rPr>
    </w:lvl>
    <w:lvl w:ilvl="1" w:tplc="C95AFD10">
      <w:start w:val="78"/>
      <w:numFmt w:val="bullet"/>
      <w:lvlText w:val="–"/>
      <w:lvlJc w:val="left"/>
      <w:pPr>
        <w:tabs>
          <w:tab w:val="num" w:pos="1440"/>
        </w:tabs>
        <w:ind w:left="1440" w:hanging="360"/>
      </w:pPr>
      <w:rPr>
        <w:rFonts w:ascii="Arial" w:hAnsi="Arial" w:hint="default"/>
      </w:rPr>
    </w:lvl>
    <w:lvl w:ilvl="2" w:tplc="E208F3AA">
      <w:start w:val="1"/>
      <w:numFmt w:val="bullet"/>
      <w:lvlText w:val="•"/>
      <w:lvlJc w:val="left"/>
      <w:pPr>
        <w:tabs>
          <w:tab w:val="num" w:pos="2160"/>
        </w:tabs>
        <w:ind w:left="2160" w:hanging="360"/>
      </w:pPr>
      <w:rPr>
        <w:rFonts w:ascii="Arial" w:hAnsi="Arial" w:hint="default"/>
      </w:rPr>
    </w:lvl>
    <w:lvl w:ilvl="3" w:tplc="788E698A">
      <w:start w:val="1"/>
      <w:numFmt w:val="bullet"/>
      <w:lvlText w:val="•"/>
      <w:lvlJc w:val="left"/>
      <w:pPr>
        <w:tabs>
          <w:tab w:val="num" w:pos="2880"/>
        </w:tabs>
        <w:ind w:left="2880" w:hanging="360"/>
      </w:pPr>
      <w:rPr>
        <w:rFonts w:ascii="Arial" w:hAnsi="Arial" w:hint="default"/>
      </w:rPr>
    </w:lvl>
    <w:lvl w:ilvl="4" w:tplc="677C66DA">
      <w:start w:val="1"/>
      <w:numFmt w:val="bullet"/>
      <w:lvlText w:val="•"/>
      <w:lvlJc w:val="left"/>
      <w:pPr>
        <w:tabs>
          <w:tab w:val="num" w:pos="3600"/>
        </w:tabs>
        <w:ind w:left="3600" w:hanging="360"/>
      </w:pPr>
      <w:rPr>
        <w:rFonts w:ascii="Arial" w:hAnsi="Arial" w:hint="default"/>
      </w:rPr>
    </w:lvl>
    <w:lvl w:ilvl="5" w:tplc="3AD6AB10" w:tentative="1">
      <w:start w:val="1"/>
      <w:numFmt w:val="bullet"/>
      <w:lvlText w:val="•"/>
      <w:lvlJc w:val="left"/>
      <w:pPr>
        <w:tabs>
          <w:tab w:val="num" w:pos="4320"/>
        </w:tabs>
        <w:ind w:left="4320" w:hanging="360"/>
      </w:pPr>
      <w:rPr>
        <w:rFonts w:ascii="Arial" w:hAnsi="Arial" w:hint="default"/>
      </w:rPr>
    </w:lvl>
    <w:lvl w:ilvl="6" w:tplc="F55EC808" w:tentative="1">
      <w:start w:val="1"/>
      <w:numFmt w:val="bullet"/>
      <w:lvlText w:val="•"/>
      <w:lvlJc w:val="left"/>
      <w:pPr>
        <w:tabs>
          <w:tab w:val="num" w:pos="5040"/>
        </w:tabs>
        <w:ind w:left="5040" w:hanging="360"/>
      </w:pPr>
      <w:rPr>
        <w:rFonts w:ascii="Arial" w:hAnsi="Arial" w:hint="default"/>
      </w:rPr>
    </w:lvl>
    <w:lvl w:ilvl="7" w:tplc="76F2AAAE" w:tentative="1">
      <w:start w:val="1"/>
      <w:numFmt w:val="bullet"/>
      <w:lvlText w:val="•"/>
      <w:lvlJc w:val="left"/>
      <w:pPr>
        <w:tabs>
          <w:tab w:val="num" w:pos="5760"/>
        </w:tabs>
        <w:ind w:left="5760" w:hanging="360"/>
      </w:pPr>
      <w:rPr>
        <w:rFonts w:ascii="Arial" w:hAnsi="Arial" w:hint="default"/>
      </w:rPr>
    </w:lvl>
    <w:lvl w:ilvl="8" w:tplc="55726AF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17115CE"/>
    <w:multiLevelType w:val="hybridMultilevel"/>
    <w:tmpl w:val="6A84CB16"/>
    <w:lvl w:ilvl="0" w:tplc="C5DAAF14">
      <w:start w:val="1"/>
      <w:numFmt w:val="bullet"/>
      <w:lvlText w:val="•"/>
      <w:lvlJc w:val="left"/>
      <w:pPr>
        <w:tabs>
          <w:tab w:val="num" w:pos="720"/>
        </w:tabs>
        <w:ind w:left="720" w:hanging="360"/>
      </w:pPr>
      <w:rPr>
        <w:rFonts w:ascii="Arial" w:hAnsi="Arial" w:cs="Times New Roman" w:hint="default"/>
      </w:rPr>
    </w:lvl>
    <w:lvl w:ilvl="1" w:tplc="212284CA">
      <w:start w:val="4012"/>
      <w:numFmt w:val="bullet"/>
      <w:lvlText w:val="–"/>
      <w:lvlJc w:val="left"/>
      <w:pPr>
        <w:tabs>
          <w:tab w:val="num" w:pos="1440"/>
        </w:tabs>
        <w:ind w:left="1440" w:hanging="360"/>
      </w:pPr>
      <w:rPr>
        <w:rFonts w:ascii="Arial" w:hAnsi="Arial" w:cs="Times New Roman" w:hint="default"/>
      </w:rPr>
    </w:lvl>
    <w:lvl w:ilvl="2" w:tplc="C1205DC2">
      <w:start w:val="4012"/>
      <w:numFmt w:val="bullet"/>
      <w:lvlText w:val="•"/>
      <w:lvlJc w:val="left"/>
      <w:pPr>
        <w:tabs>
          <w:tab w:val="num" w:pos="2160"/>
        </w:tabs>
        <w:ind w:left="2160" w:hanging="360"/>
      </w:pPr>
      <w:rPr>
        <w:rFonts w:ascii="Arial" w:hAnsi="Arial" w:cs="Times New Roman" w:hint="default"/>
      </w:rPr>
    </w:lvl>
    <w:lvl w:ilvl="3" w:tplc="4E7A10DA">
      <w:start w:val="1"/>
      <w:numFmt w:val="bullet"/>
      <w:lvlText w:val="•"/>
      <w:lvlJc w:val="left"/>
      <w:pPr>
        <w:tabs>
          <w:tab w:val="num" w:pos="2880"/>
        </w:tabs>
        <w:ind w:left="2880" w:hanging="360"/>
      </w:pPr>
      <w:rPr>
        <w:rFonts w:ascii="Arial" w:hAnsi="Arial" w:cs="Times New Roman" w:hint="default"/>
      </w:rPr>
    </w:lvl>
    <w:lvl w:ilvl="4" w:tplc="BA7E19AA">
      <w:start w:val="1"/>
      <w:numFmt w:val="bullet"/>
      <w:lvlText w:val="•"/>
      <w:lvlJc w:val="left"/>
      <w:pPr>
        <w:tabs>
          <w:tab w:val="num" w:pos="3600"/>
        </w:tabs>
        <w:ind w:left="3600" w:hanging="360"/>
      </w:pPr>
      <w:rPr>
        <w:rFonts w:ascii="Arial" w:hAnsi="Arial" w:cs="Times New Roman" w:hint="default"/>
      </w:rPr>
    </w:lvl>
    <w:lvl w:ilvl="5" w:tplc="DFD45396">
      <w:start w:val="1"/>
      <w:numFmt w:val="bullet"/>
      <w:lvlText w:val="•"/>
      <w:lvlJc w:val="left"/>
      <w:pPr>
        <w:tabs>
          <w:tab w:val="num" w:pos="4320"/>
        </w:tabs>
        <w:ind w:left="4320" w:hanging="360"/>
      </w:pPr>
      <w:rPr>
        <w:rFonts w:ascii="Arial" w:hAnsi="Arial" w:cs="Times New Roman" w:hint="default"/>
      </w:rPr>
    </w:lvl>
    <w:lvl w:ilvl="6" w:tplc="287A2F0C">
      <w:start w:val="1"/>
      <w:numFmt w:val="bullet"/>
      <w:lvlText w:val="•"/>
      <w:lvlJc w:val="left"/>
      <w:pPr>
        <w:tabs>
          <w:tab w:val="num" w:pos="5040"/>
        </w:tabs>
        <w:ind w:left="5040" w:hanging="360"/>
      </w:pPr>
      <w:rPr>
        <w:rFonts w:ascii="Arial" w:hAnsi="Arial" w:cs="Times New Roman" w:hint="default"/>
      </w:rPr>
    </w:lvl>
    <w:lvl w:ilvl="7" w:tplc="4CA6048C">
      <w:start w:val="1"/>
      <w:numFmt w:val="bullet"/>
      <w:lvlText w:val="•"/>
      <w:lvlJc w:val="left"/>
      <w:pPr>
        <w:tabs>
          <w:tab w:val="num" w:pos="5760"/>
        </w:tabs>
        <w:ind w:left="5760" w:hanging="360"/>
      </w:pPr>
      <w:rPr>
        <w:rFonts w:ascii="Arial" w:hAnsi="Arial" w:cs="Times New Roman" w:hint="default"/>
      </w:rPr>
    </w:lvl>
    <w:lvl w:ilvl="8" w:tplc="BE962D3E">
      <w:start w:val="1"/>
      <w:numFmt w:val="bullet"/>
      <w:lvlText w:val="•"/>
      <w:lvlJc w:val="left"/>
      <w:pPr>
        <w:tabs>
          <w:tab w:val="num" w:pos="6480"/>
        </w:tabs>
        <w:ind w:left="6480" w:hanging="360"/>
      </w:pPr>
      <w:rPr>
        <w:rFonts w:ascii="Arial" w:hAnsi="Arial" w:cs="Times New Roman" w:hint="default"/>
      </w:rPr>
    </w:lvl>
  </w:abstractNum>
  <w:abstractNum w:abstractNumId="12" w15:restartNumberingAfterBreak="0">
    <w:nsid w:val="564F554F"/>
    <w:multiLevelType w:val="hybridMultilevel"/>
    <w:tmpl w:val="FED4C056"/>
    <w:lvl w:ilvl="0" w:tplc="1A36D670">
      <w:start w:val="1"/>
      <w:numFmt w:val="bullet"/>
      <w:lvlText w:val="•"/>
      <w:lvlJc w:val="left"/>
      <w:pPr>
        <w:tabs>
          <w:tab w:val="num" w:pos="720"/>
        </w:tabs>
        <w:ind w:left="720" w:hanging="360"/>
      </w:pPr>
      <w:rPr>
        <w:rFonts w:ascii="Arial" w:hAnsi="Arial" w:cs="Times New Roman" w:hint="default"/>
      </w:rPr>
    </w:lvl>
    <w:lvl w:ilvl="1" w:tplc="02CEDFB0">
      <w:start w:val="1934"/>
      <w:numFmt w:val="bullet"/>
      <w:lvlText w:val="–"/>
      <w:lvlJc w:val="left"/>
      <w:pPr>
        <w:tabs>
          <w:tab w:val="num" w:pos="1440"/>
        </w:tabs>
        <w:ind w:left="1440" w:hanging="360"/>
      </w:pPr>
      <w:rPr>
        <w:rFonts w:ascii="Arial" w:hAnsi="Arial" w:cs="Times New Roman" w:hint="default"/>
      </w:rPr>
    </w:lvl>
    <w:lvl w:ilvl="2" w:tplc="01DA759C">
      <w:start w:val="1934"/>
      <w:numFmt w:val="bullet"/>
      <w:lvlText w:val="•"/>
      <w:lvlJc w:val="left"/>
      <w:pPr>
        <w:tabs>
          <w:tab w:val="num" w:pos="2160"/>
        </w:tabs>
        <w:ind w:left="2160" w:hanging="360"/>
      </w:pPr>
      <w:rPr>
        <w:rFonts w:ascii="Arial" w:hAnsi="Arial" w:cs="Times New Roman" w:hint="default"/>
      </w:rPr>
    </w:lvl>
    <w:lvl w:ilvl="3" w:tplc="6B0AF03E">
      <w:start w:val="1"/>
      <w:numFmt w:val="bullet"/>
      <w:lvlText w:val="•"/>
      <w:lvlJc w:val="left"/>
      <w:pPr>
        <w:tabs>
          <w:tab w:val="num" w:pos="2880"/>
        </w:tabs>
        <w:ind w:left="2880" w:hanging="360"/>
      </w:pPr>
      <w:rPr>
        <w:rFonts w:ascii="Arial" w:hAnsi="Arial" w:cs="Times New Roman" w:hint="default"/>
      </w:rPr>
    </w:lvl>
    <w:lvl w:ilvl="4" w:tplc="02689E0A">
      <w:start w:val="1"/>
      <w:numFmt w:val="bullet"/>
      <w:lvlText w:val="•"/>
      <w:lvlJc w:val="left"/>
      <w:pPr>
        <w:tabs>
          <w:tab w:val="num" w:pos="3600"/>
        </w:tabs>
        <w:ind w:left="3600" w:hanging="360"/>
      </w:pPr>
      <w:rPr>
        <w:rFonts w:ascii="Arial" w:hAnsi="Arial" w:cs="Times New Roman" w:hint="default"/>
      </w:rPr>
    </w:lvl>
    <w:lvl w:ilvl="5" w:tplc="968854A4">
      <w:start w:val="1"/>
      <w:numFmt w:val="bullet"/>
      <w:lvlText w:val="•"/>
      <w:lvlJc w:val="left"/>
      <w:pPr>
        <w:tabs>
          <w:tab w:val="num" w:pos="4320"/>
        </w:tabs>
        <w:ind w:left="4320" w:hanging="360"/>
      </w:pPr>
      <w:rPr>
        <w:rFonts w:ascii="Arial" w:hAnsi="Arial" w:cs="Times New Roman" w:hint="default"/>
      </w:rPr>
    </w:lvl>
    <w:lvl w:ilvl="6" w:tplc="6DC0BB12">
      <w:start w:val="1"/>
      <w:numFmt w:val="bullet"/>
      <w:lvlText w:val="•"/>
      <w:lvlJc w:val="left"/>
      <w:pPr>
        <w:tabs>
          <w:tab w:val="num" w:pos="5040"/>
        </w:tabs>
        <w:ind w:left="5040" w:hanging="360"/>
      </w:pPr>
      <w:rPr>
        <w:rFonts w:ascii="Arial" w:hAnsi="Arial" w:cs="Times New Roman" w:hint="default"/>
      </w:rPr>
    </w:lvl>
    <w:lvl w:ilvl="7" w:tplc="279A916E">
      <w:start w:val="1"/>
      <w:numFmt w:val="bullet"/>
      <w:lvlText w:val="•"/>
      <w:lvlJc w:val="left"/>
      <w:pPr>
        <w:tabs>
          <w:tab w:val="num" w:pos="5760"/>
        </w:tabs>
        <w:ind w:left="5760" w:hanging="360"/>
      </w:pPr>
      <w:rPr>
        <w:rFonts w:ascii="Arial" w:hAnsi="Arial" w:cs="Times New Roman" w:hint="default"/>
      </w:rPr>
    </w:lvl>
    <w:lvl w:ilvl="8" w:tplc="91DE656C">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584D4D2D"/>
    <w:multiLevelType w:val="hybridMultilevel"/>
    <w:tmpl w:val="0B8A03A0"/>
    <w:lvl w:ilvl="0" w:tplc="6958E0E4">
      <w:start w:val="1"/>
      <w:numFmt w:val="bullet"/>
      <w:lvlText w:val="•"/>
      <w:lvlJc w:val="left"/>
      <w:pPr>
        <w:tabs>
          <w:tab w:val="num" w:pos="720"/>
        </w:tabs>
        <w:ind w:left="720" w:hanging="360"/>
      </w:pPr>
      <w:rPr>
        <w:rFonts w:ascii="Arial" w:hAnsi="Arial" w:hint="default"/>
      </w:rPr>
    </w:lvl>
    <w:lvl w:ilvl="1" w:tplc="180E3BAE">
      <w:start w:val="1"/>
      <w:numFmt w:val="bullet"/>
      <w:lvlText w:val="•"/>
      <w:lvlJc w:val="left"/>
      <w:pPr>
        <w:tabs>
          <w:tab w:val="num" w:pos="1440"/>
        </w:tabs>
        <w:ind w:left="1440" w:hanging="360"/>
      </w:pPr>
      <w:rPr>
        <w:rFonts w:ascii="Arial" w:hAnsi="Arial" w:hint="default"/>
      </w:rPr>
    </w:lvl>
    <w:lvl w:ilvl="2" w:tplc="D5A6FCE8" w:tentative="1">
      <w:start w:val="1"/>
      <w:numFmt w:val="bullet"/>
      <w:lvlText w:val="•"/>
      <w:lvlJc w:val="left"/>
      <w:pPr>
        <w:tabs>
          <w:tab w:val="num" w:pos="2160"/>
        </w:tabs>
        <w:ind w:left="2160" w:hanging="360"/>
      </w:pPr>
      <w:rPr>
        <w:rFonts w:ascii="Arial" w:hAnsi="Arial" w:hint="default"/>
      </w:rPr>
    </w:lvl>
    <w:lvl w:ilvl="3" w:tplc="1602D33C" w:tentative="1">
      <w:start w:val="1"/>
      <w:numFmt w:val="bullet"/>
      <w:lvlText w:val="•"/>
      <w:lvlJc w:val="left"/>
      <w:pPr>
        <w:tabs>
          <w:tab w:val="num" w:pos="2880"/>
        </w:tabs>
        <w:ind w:left="2880" w:hanging="360"/>
      </w:pPr>
      <w:rPr>
        <w:rFonts w:ascii="Arial" w:hAnsi="Arial" w:hint="default"/>
      </w:rPr>
    </w:lvl>
    <w:lvl w:ilvl="4" w:tplc="2C54ED9E" w:tentative="1">
      <w:start w:val="1"/>
      <w:numFmt w:val="bullet"/>
      <w:lvlText w:val="•"/>
      <w:lvlJc w:val="left"/>
      <w:pPr>
        <w:tabs>
          <w:tab w:val="num" w:pos="3600"/>
        </w:tabs>
        <w:ind w:left="3600" w:hanging="360"/>
      </w:pPr>
      <w:rPr>
        <w:rFonts w:ascii="Arial" w:hAnsi="Arial" w:hint="default"/>
      </w:rPr>
    </w:lvl>
    <w:lvl w:ilvl="5" w:tplc="8AE636E4" w:tentative="1">
      <w:start w:val="1"/>
      <w:numFmt w:val="bullet"/>
      <w:lvlText w:val="•"/>
      <w:lvlJc w:val="left"/>
      <w:pPr>
        <w:tabs>
          <w:tab w:val="num" w:pos="4320"/>
        </w:tabs>
        <w:ind w:left="4320" w:hanging="360"/>
      </w:pPr>
      <w:rPr>
        <w:rFonts w:ascii="Arial" w:hAnsi="Arial" w:hint="default"/>
      </w:rPr>
    </w:lvl>
    <w:lvl w:ilvl="6" w:tplc="215E725E" w:tentative="1">
      <w:start w:val="1"/>
      <w:numFmt w:val="bullet"/>
      <w:lvlText w:val="•"/>
      <w:lvlJc w:val="left"/>
      <w:pPr>
        <w:tabs>
          <w:tab w:val="num" w:pos="5040"/>
        </w:tabs>
        <w:ind w:left="5040" w:hanging="360"/>
      </w:pPr>
      <w:rPr>
        <w:rFonts w:ascii="Arial" w:hAnsi="Arial" w:hint="default"/>
      </w:rPr>
    </w:lvl>
    <w:lvl w:ilvl="7" w:tplc="0C988038" w:tentative="1">
      <w:start w:val="1"/>
      <w:numFmt w:val="bullet"/>
      <w:lvlText w:val="•"/>
      <w:lvlJc w:val="left"/>
      <w:pPr>
        <w:tabs>
          <w:tab w:val="num" w:pos="5760"/>
        </w:tabs>
        <w:ind w:left="5760" w:hanging="360"/>
      </w:pPr>
      <w:rPr>
        <w:rFonts w:ascii="Arial" w:hAnsi="Arial" w:hint="default"/>
      </w:rPr>
    </w:lvl>
    <w:lvl w:ilvl="8" w:tplc="86CE0B6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89D0EBC"/>
    <w:multiLevelType w:val="hybridMultilevel"/>
    <w:tmpl w:val="3916925E"/>
    <w:lvl w:ilvl="0" w:tplc="A78648BE">
      <w:start w:val="7"/>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31B13C4"/>
    <w:multiLevelType w:val="hybridMultilevel"/>
    <w:tmpl w:val="189A27D6"/>
    <w:lvl w:ilvl="0" w:tplc="896C7DFE">
      <w:start w:val="1"/>
      <w:numFmt w:val="bullet"/>
      <w:lvlText w:val="–"/>
      <w:lvlJc w:val="left"/>
      <w:pPr>
        <w:tabs>
          <w:tab w:val="num" w:pos="720"/>
        </w:tabs>
        <w:ind w:left="720" w:hanging="360"/>
      </w:pPr>
      <w:rPr>
        <w:rFonts w:ascii="Arial" w:hAnsi="Arial" w:hint="default"/>
      </w:rPr>
    </w:lvl>
    <w:lvl w:ilvl="1" w:tplc="17489062">
      <w:start w:val="1"/>
      <w:numFmt w:val="bullet"/>
      <w:lvlText w:val="–"/>
      <w:lvlJc w:val="left"/>
      <w:pPr>
        <w:tabs>
          <w:tab w:val="num" w:pos="1440"/>
        </w:tabs>
        <w:ind w:left="1440" w:hanging="360"/>
      </w:pPr>
      <w:rPr>
        <w:rFonts w:ascii="Arial" w:hAnsi="Arial" w:hint="default"/>
      </w:rPr>
    </w:lvl>
    <w:lvl w:ilvl="2" w:tplc="903A7EC4">
      <w:start w:val="1864"/>
      <w:numFmt w:val="bullet"/>
      <w:lvlText w:val="•"/>
      <w:lvlJc w:val="left"/>
      <w:pPr>
        <w:tabs>
          <w:tab w:val="num" w:pos="2160"/>
        </w:tabs>
        <w:ind w:left="2160" w:hanging="360"/>
      </w:pPr>
      <w:rPr>
        <w:rFonts w:ascii="Arial" w:hAnsi="Arial" w:hint="default"/>
      </w:rPr>
    </w:lvl>
    <w:lvl w:ilvl="3" w:tplc="B31A94FA">
      <w:start w:val="1"/>
      <w:numFmt w:val="bullet"/>
      <w:lvlText w:val="–"/>
      <w:lvlJc w:val="left"/>
      <w:pPr>
        <w:tabs>
          <w:tab w:val="num" w:pos="2880"/>
        </w:tabs>
        <w:ind w:left="2880" w:hanging="360"/>
      </w:pPr>
      <w:rPr>
        <w:rFonts w:ascii="Arial" w:hAnsi="Arial" w:hint="default"/>
      </w:rPr>
    </w:lvl>
    <w:lvl w:ilvl="4" w:tplc="D4E6181A">
      <w:start w:val="1"/>
      <w:numFmt w:val="bullet"/>
      <w:lvlText w:val="–"/>
      <w:lvlJc w:val="left"/>
      <w:pPr>
        <w:tabs>
          <w:tab w:val="num" w:pos="3600"/>
        </w:tabs>
        <w:ind w:left="3600" w:hanging="360"/>
      </w:pPr>
      <w:rPr>
        <w:rFonts w:ascii="Arial" w:hAnsi="Arial" w:hint="default"/>
      </w:rPr>
    </w:lvl>
    <w:lvl w:ilvl="5" w:tplc="F99C6460" w:tentative="1">
      <w:start w:val="1"/>
      <w:numFmt w:val="bullet"/>
      <w:lvlText w:val="–"/>
      <w:lvlJc w:val="left"/>
      <w:pPr>
        <w:tabs>
          <w:tab w:val="num" w:pos="4320"/>
        </w:tabs>
        <w:ind w:left="4320" w:hanging="360"/>
      </w:pPr>
      <w:rPr>
        <w:rFonts w:ascii="Arial" w:hAnsi="Arial" w:hint="default"/>
      </w:rPr>
    </w:lvl>
    <w:lvl w:ilvl="6" w:tplc="3F1A1B82" w:tentative="1">
      <w:start w:val="1"/>
      <w:numFmt w:val="bullet"/>
      <w:lvlText w:val="–"/>
      <w:lvlJc w:val="left"/>
      <w:pPr>
        <w:tabs>
          <w:tab w:val="num" w:pos="5040"/>
        </w:tabs>
        <w:ind w:left="5040" w:hanging="360"/>
      </w:pPr>
      <w:rPr>
        <w:rFonts w:ascii="Arial" w:hAnsi="Arial" w:hint="default"/>
      </w:rPr>
    </w:lvl>
    <w:lvl w:ilvl="7" w:tplc="AA68EFD0" w:tentative="1">
      <w:start w:val="1"/>
      <w:numFmt w:val="bullet"/>
      <w:lvlText w:val="–"/>
      <w:lvlJc w:val="left"/>
      <w:pPr>
        <w:tabs>
          <w:tab w:val="num" w:pos="5760"/>
        </w:tabs>
        <w:ind w:left="5760" w:hanging="360"/>
      </w:pPr>
      <w:rPr>
        <w:rFonts w:ascii="Arial" w:hAnsi="Arial" w:hint="default"/>
      </w:rPr>
    </w:lvl>
    <w:lvl w:ilvl="8" w:tplc="90A6A51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71A0513"/>
    <w:multiLevelType w:val="hybridMultilevel"/>
    <w:tmpl w:val="A1C462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8"/>
  </w:num>
  <w:num w:numId="4">
    <w:abstractNumId w:val="2"/>
  </w:num>
  <w:num w:numId="5">
    <w:abstractNumId w:val="7"/>
  </w:num>
  <w:num w:numId="6">
    <w:abstractNumId w:val="3"/>
  </w:num>
  <w:num w:numId="7">
    <w:abstractNumId w:val="9"/>
  </w:num>
  <w:num w:numId="8">
    <w:abstractNumId w:val="14"/>
  </w:num>
  <w:num w:numId="9">
    <w:abstractNumId w:val="12"/>
  </w:num>
  <w:num w:numId="10">
    <w:abstractNumId w:val="11"/>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6"/>
  </w:num>
  <w:num w:numId="14">
    <w:abstractNumId w:val="4"/>
  </w:num>
  <w:num w:numId="15">
    <w:abstractNumId w:val="5"/>
  </w:num>
  <w:num w:numId="16">
    <w:abstractNumId w:val="10"/>
  </w:num>
  <w:num w:numId="17">
    <w:abstractNumId w:val="13"/>
  </w:num>
  <w:num w:numId="18">
    <w:abstractNumId w:val="16"/>
  </w:num>
  <w:num w:numId="1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05C1F"/>
    <w:rsid w:val="00011919"/>
    <w:rsid w:val="000152F8"/>
    <w:rsid w:val="00017D31"/>
    <w:rsid w:val="00021284"/>
    <w:rsid w:val="000232BC"/>
    <w:rsid w:val="00024728"/>
    <w:rsid w:val="000250E0"/>
    <w:rsid w:val="00033AB4"/>
    <w:rsid w:val="000343A6"/>
    <w:rsid w:val="0003619A"/>
    <w:rsid w:val="00040A01"/>
    <w:rsid w:val="00042DC3"/>
    <w:rsid w:val="00043767"/>
    <w:rsid w:val="00054932"/>
    <w:rsid w:val="0006142A"/>
    <w:rsid w:val="0006409C"/>
    <w:rsid w:val="00064130"/>
    <w:rsid w:val="00077861"/>
    <w:rsid w:val="0008103A"/>
    <w:rsid w:val="000848FB"/>
    <w:rsid w:val="00084DD3"/>
    <w:rsid w:val="000A3623"/>
    <w:rsid w:val="000D06E2"/>
    <w:rsid w:val="000E3E8D"/>
    <w:rsid w:val="000E7BE4"/>
    <w:rsid w:val="000E7F6F"/>
    <w:rsid w:val="000F152B"/>
    <w:rsid w:val="000F70D6"/>
    <w:rsid w:val="0010116E"/>
    <w:rsid w:val="00102E95"/>
    <w:rsid w:val="00105697"/>
    <w:rsid w:val="00105C6C"/>
    <w:rsid w:val="00106E19"/>
    <w:rsid w:val="00107EBD"/>
    <w:rsid w:val="0011195C"/>
    <w:rsid w:val="001153C1"/>
    <w:rsid w:val="0011607E"/>
    <w:rsid w:val="00117694"/>
    <w:rsid w:val="001259C2"/>
    <w:rsid w:val="00131CEE"/>
    <w:rsid w:val="001413B7"/>
    <w:rsid w:val="00150F00"/>
    <w:rsid w:val="00151261"/>
    <w:rsid w:val="00151B4B"/>
    <w:rsid w:val="00154E1E"/>
    <w:rsid w:val="001625C3"/>
    <w:rsid w:val="0016647F"/>
    <w:rsid w:val="00167904"/>
    <w:rsid w:val="001711C0"/>
    <w:rsid w:val="001738F0"/>
    <w:rsid w:val="00183B2D"/>
    <w:rsid w:val="00184167"/>
    <w:rsid w:val="00185306"/>
    <w:rsid w:val="00185817"/>
    <w:rsid w:val="001A0F72"/>
    <w:rsid w:val="001A19A7"/>
    <w:rsid w:val="001B362A"/>
    <w:rsid w:val="001C0C74"/>
    <w:rsid w:val="001C1CC2"/>
    <w:rsid w:val="001C312C"/>
    <w:rsid w:val="001D7377"/>
    <w:rsid w:val="001E0FE1"/>
    <w:rsid w:val="001E1248"/>
    <w:rsid w:val="001F2BF9"/>
    <w:rsid w:val="001F6159"/>
    <w:rsid w:val="00201686"/>
    <w:rsid w:val="002049EA"/>
    <w:rsid w:val="002053FF"/>
    <w:rsid w:val="00206D78"/>
    <w:rsid w:val="00206DA2"/>
    <w:rsid w:val="00207CDD"/>
    <w:rsid w:val="00210503"/>
    <w:rsid w:val="0021393D"/>
    <w:rsid w:val="00225364"/>
    <w:rsid w:val="00236E92"/>
    <w:rsid w:val="00242A69"/>
    <w:rsid w:val="00242F9F"/>
    <w:rsid w:val="00244E87"/>
    <w:rsid w:val="00250D87"/>
    <w:rsid w:val="00253D74"/>
    <w:rsid w:val="00261900"/>
    <w:rsid w:val="00270E7D"/>
    <w:rsid w:val="00273449"/>
    <w:rsid w:val="00273B90"/>
    <w:rsid w:val="00275CA0"/>
    <w:rsid w:val="00291C98"/>
    <w:rsid w:val="00292766"/>
    <w:rsid w:val="00297B7D"/>
    <w:rsid w:val="002A6EAC"/>
    <w:rsid w:val="002B13C5"/>
    <w:rsid w:val="002B26F8"/>
    <w:rsid w:val="002B6B50"/>
    <w:rsid w:val="002C0F16"/>
    <w:rsid w:val="002C3A90"/>
    <w:rsid w:val="002D4576"/>
    <w:rsid w:val="002D4C1B"/>
    <w:rsid w:val="002E04CB"/>
    <w:rsid w:val="002E3D2F"/>
    <w:rsid w:val="002E6A45"/>
    <w:rsid w:val="002F70E1"/>
    <w:rsid w:val="003006C5"/>
    <w:rsid w:val="00303D61"/>
    <w:rsid w:val="00304012"/>
    <w:rsid w:val="003149D8"/>
    <w:rsid w:val="003150B5"/>
    <w:rsid w:val="00330A73"/>
    <w:rsid w:val="00333268"/>
    <w:rsid w:val="00334E9F"/>
    <w:rsid w:val="00336555"/>
    <w:rsid w:val="003621E7"/>
    <w:rsid w:val="00363695"/>
    <w:rsid w:val="003709E5"/>
    <w:rsid w:val="0037686B"/>
    <w:rsid w:val="0037788F"/>
    <w:rsid w:val="003778D9"/>
    <w:rsid w:val="00382E4B"/>
    <w:rsid w:val="003839FD"/>
    <w:rsid w:val="00384F13"/>
    <w:rsid w:val="00386534"/>
    <w:rsid w:val="00386B9D"/>
    <w:rsid w:val="003917FA"/>
    <w:rsid w:val="003967CC"/>
    <w:rsid w:val="003A6F05"/>
    <w:rsid w:val="003B08A8"/>
    <w:rsid w:val="003B11C5"/>
    <w:rsid w:val="003C04C9"/>
    <w:rsid w:val="003C1FBC"/>
    <w:rsid w:val="003C71AC"/>
    <w:rsid w:val="003D1C8C"/>
    <w:rsid w:val="003D2FF5"/>
    <w:rsid w:val="003D51ED"/>
    <w:rsid w:val="003F0B97"/>
    <w:rsid w:val="003F13C8"/>
    <w:rsid w:val="003F25DD"/>
    <w:rsid w:val="003F2F64"/>
    <w:rsid w:val="003F3BD7"/>
    <w:rsid w:val="003F54E8"/>
    <w:rsid w:val="003F7B19"/>
    <w:rsid w:val="00413433"/>
    <w:rsid w:val="0041500F"/>
    <w:rsid w:val="00416778"/>
    <w:rsid w:val="00416848"/>
    <w:rsid w:val="0041687B"/>
    <w:rsid w:val="00417010"/>
    <w:rsid w:val="004172B1"/>
    <w:rsid w:val="00421884"/>
    <w:rsid w:val="00425681"/>
    <w:rsid w:val="00431DD2"/>
    <w:rsid w:val="00434696"/>
    <w:rsid w:val="00434EBF"/>
    <w:rsid w:val="00436CAA"/>
    <w:rsid w:val="004424EA"/>
    <w:rsid w:val="0044468E"/>
    <w:rsid w:val="00445B15"/>
    <w:rsid w:val="00453BC5"/>
    <w:rsid w:val="004578CE"/>
    <w:rsid w:val="00464DB7"/>
    <w:rsid w:val="00464F06"/>
    <w:rsid w:val="004665EA"/>
    <w:rsid w:val="00467A1C"/>
    <w:rsid w:val="00470BCC"/>
    <w:rsid w:val="00471008"/>
    <w:rsid w:val="00474038"/>
    <w:rsid w:val="00482F56"/>
    <w:rsid w:val="004831F7"/>
    <w:rsid w:val="00483E60"/>
    <w:rsid w:val="00484322"/>
    <w:rsid w:val="00491D5A"/>
    <w:rsid w:val="0049348F"/>
    <w:rsid w:val="004941F5"/>
    <w:rsid w:val="004951FA"/>
    <w:rsid w:val="00496256"/>
    <w:rsid w:val="004A4B20"/>
    <w:rsid w:val="004A5460"/>
    <w:rsid w:val="004A6AF1"/>
    <w:rsid w:val="004B6CC8"/>
    <w:rsid w:val="004C521D"/>
    <w:rsid w:val="004D24AB"/>
    <w:rsid w:val="004D267B"/>
    <w:rsid w:val="004D64CD"/>
    <w:rsid w:val="004E0663"/>
    <w:rsid w:val="004E24E6"/>
    <w:rsid w:val="004E3753"/>
    <w:rsid w:val="004E4A4E"/>
    <w:rsid w:val="0051043F"/>
    <w:rsid w:val="0051324A"/>
    <w:rsid w:val="00526E57"/>
    <w:rsid w:val="00530298"/>
    <w:rsid w:val="00533DC1"/>
    <w:rsid w:val="00534474"/>
    <w:rsid w:val="005352FA"/>
    <w:rsid w:val="00537F8E"/>
    <w:rsid w:val="005457DF"/>
    <w:rsid w:val="00547C78"/>
    <w:rsid w:val="0055021B"/>
    <w:rsid w:val="00566BF8"/>
    <w:rsid w:val="005720AE"/>
    <w:rsid w:val="0058545D"/>
    <w:rsid w:val="00594E1F"/>
    <w:rsid w:val="005C1BF7"/>
    <w:rsid w:val="005C4155"/>
    <w:rsid w:val="005D038F"/>
    <w:rsid w:val="005E54E7"/>
    <w:rsid w:val="005F0C73"/>
    <w:rsid w:val="005F2BEE"/>
    <w:rsid w:val="005F49BE"/>
    <w:rsid w:val="005F69AE"/>
    <w:rsid w:val="00602FF2"/>
    <w:rsid w:val="00604D6B"/>
    <w:rsid w:val="0061290E"/>
    <w:rsid w:val="0062050D"/>
    <w:rsid w:val="00633D91"/>
    <w:rsid w:val="00642F7D"/>
    <w:rsid w:val="00644086"/>
    <w:rsid w:val="0064614A"/>
    <w:rsid w:val="00646B50"/>
    <w:rsid w:val="00647AF1"/>
    <w:rsid w:val="00653B6D"/>
    <w:rsid w:val="006577D9"/>
    <w:rsid w:val="006625D4"/>
    <w:rsid w:val="00664678"/>
    <w:rsid w:val="006667BE"/>
    <w:rsid w:val="00667EDB"/>
    <w:rsid w:val="00672831"/>
    <w:rsid w:val="00674ED6"/>
    <w:rsid w:val="00680F31"/>
    <w:rsid w:val="00690312"/>
    <w:rsid w:val="00691783"/>
    <w:rsid w:val="006A4ACB"/>
    <w:rsid w:val="006A53E5"/>
    <w:rsid w:val="006A5DD2"/>
    <w:rsid w:val="006B101C"/>
    <w:rsid w:val="006C31E5"/>
    <w:rsid w:val="006C47A9"/>
    <w:rsid w:val="006C6647"/>
    <w:rsid w:val="006D3D50"/>
    <w:rsid w:val="006F5982"/>
    <w:rsid w:val="00703127"/>
    <w:rsid w:val="00706C10"/>
    <w:rsid w:val="007146FF"/>
    <w:rsid w:val="007229DC"/>
    <w:rsid w:val="00722FD8"/>
    <w:rsid w:val="00725535"/>
    <w:rsid w:val="0073390E"/>
    <w:rsid w:val="00735620"/>
    <w:rsid w:val="0074131E"/>
    <w:rsid w:val="00742ABC"/>
    <w:rsid w:val="00745620"/>
    <w:rsid w:val="00757CBF"/>
    <w:rsid w:val="00760679"/>
    <w:rsid w:val="0076369B"/>
    <w:rsid w:val="00767F04"/>
    <w:rsid w:val="007764D8"/>
    <w:rsid w:val="00780C89"/>
    <w:rsid w:val="0078261D"/>
    <w:rsid w:val="007877F2"/>
    <w:rsid w:val="00790961"/>
    <w:rsid w:val="0079695F"/>
    <w:rsid w:val="007A3C41"/>
    <w:rsid w:val="007A4702"/>
    <w:rsid w:val="007A6469"/>
    <w:rsid w:val="007B15A6"/>
    <w:rsid w:val="007B3085"/>
    <w:rsid w:val="007B3DE9"/>
    <w:rsid w:val="007B574D"/>
    <w:rsid w:val="007B6F7A"/>
    <w:rsid w:val="007C1666"/>
    <w:rsid w:val="007C274D"/>
    <w:rsid w:val="007C69A9"/>
    <w:rsid w:val="007D6B66"/>
    <w:rsid w:val="007E5CE8"/>
    <w:rsid w:val="00806FFF"/>
    <w:rsid w:val="0081279A"/>
    <w:rsid w:val="00816FB9"/>
    <w:rsid w:val="008234A8"/>
    <w:rsid w:val="00825D7A"/>
    <w:rsid w:val="00825EC8"/>
    <w:rsid w:val="008260B0"/>
    <w:rsid w:val="00827552"/>
    <w:rsid w:val="008305FD"/>
    <w:rsid w:val="00841D9F"/>
    <w:rsid w:val="008439E9"/>
    <w:rsid w:val="00843B1D"/>
    <w:rsid w:val="00844CF1"/>
    <w:rsid w:val="00860E8A"/>
    <w:rsid w:val="0086141D"/>
    <w:rsid w:val="008645B9"/>
    <w:rsid w:val="00876F81"/>
    <w:rsid w:val="008779BD"/>
    <w:rsid w:val="00881B50"/>
    <w:rsid w:val="00883F0F"/>
    <w:rsid w:val="00886721"/>
    <w:rsid w:val="00892F50"/>
    <w:rsid w:val="008930A9"/>
    <w:rsid w:val="00895139"/>
    <w:rsid w:val="008A5744"/>
    <w:rsid w:val="008A70D6"/>
    <w:rsid w:val="008A7C64"/>
    <w:rsid w:val="008B7E92"/>
    <w:rsid w:val="008C4C93"/>
    <w:rsid w:val="008C7323"/>
    <w:rsid w:val="008D17CB"/>
    <w:rsid w:val="008E1849"/>
    <w:rsid w:val="008E3584"/>
    <w:rsid w:val="008E5AEC"/>
    <w:rsid w:val="008E5C54"/>
    <w:rsid w:val="008F36CB"/>
    <w:rsid w:val="008F49D1"/>
    <w:rsid w:val="008F7450"/>
    <w:rsid w:val="009060A4"/>
    <w:rsid w:val="00907D90"/>
    <w:rsid w:val="00912F39"/>
    <w:rsid w:val="0091403F"/>
    <w:rsid w:val="00917961"/>
    <w:rsid w:val="00923046"/>
    <w:rsid w:val="00935907"/>
    <w:rsid w:val="009417B0"/>
    <w:rsid w:val="009444F6"/>
    <w:rsid w:val="009534F9"/>
    <w:rsid w:val="00961690"/>
    <w:rsid w:val="00964DE7"/>
    <w:rsid w:val="009714DC"/>
    <w:rsid w:val="00973EEF"/>
    <w:rsid w:val="00974624"/>
    <w:rsid w:val="009778C9"/>
    <w:rsid w:val="00990A8D"/>
    <w:rsid w:val="00991C74"/>
    <w:rsid w:val="009A212B"/>
    <w:rsid w:val="009B12B4"/>
    <w:rsid w:val="009B34F4"/>
    <w:rsid w:val="009B679A"/>
    <w:rsid w:val="009B67DE"/>
    <w:rsid w:val="009C0E95"/>
    <w:rsid w:val="009D13BF"/>
    <w:rsid w:val="009D6A61"/>
    <w:rsid w:val="009D6C1D"/>
    <w:rsid w:val="009E5358"/>
    <w:rsid w:val="009F4239"/>
    <w:rsid w:val="00A03DF3"/>
    <w:rsid w:val="00A13339"/>
    <w:rsid w:val="00A21FA3"/>
    <w:rsid w:val="00A264F0"/>
    <w:rsid w:val="00A36F7A"/>
    <w:rsid w:val="00A42970"/>
    <w:rsid w:val="00A45013"/>
    <w:rsid w:val="00A45CAD"/>
    <w:rsid w:val="00A462B3"/>
    <w:rsid w:val="00A50E1C"/>
    <w:rsid w:val="00A64D84"/>
    <w:rsid w:val="00A706A9"/>
    <w:rsid w:val="00A715E7"/>
    <w:rsid w:val="00A755BF"/>
    <w:rsid w:val="00A769F4"/>
    <w:rsid w:val="00A76BB2"/>
    <w:rsid w:val="00A76BE5"/>
    <w:rsid w:val="00A87ED5"/>
    <w:rsid w:val="00A9069C"/>
    <w:rsid w:val="00A959CD"/>
    <w:rsid w:val="00A970DF"/>
    <w:rsid w:val="00AA0F75"/>
    <w:rsid w:val="00AB1026"/>
    <w:rsid w:val="00AB3811"/>
    <w:rsid w:val="00AB7507"/>
    <w:rsid w:val="00AC078D"/>
    <w:rsid w:val="00AC5AE4"/>
    <w:rsid w:val="00AC77F9"/>
    <w:rsid w:val="00AD402C"/>
    <w:rsid w:val="00AD5BF2"/>
    <w:rsid w:val="00AF1590"/>
    <w:rsid w:val="00AF7903"/>
    <w:rsid w:val="00B00F7E"/>
    <w:rsid w:val="00B05884"/>
    <w:rsid w:val="00B15A0C"/>
    <w:rsid w:val="00B17D08"/>
    <w:rsid w:val="00B17D86"/>
    <w:rsid w:val="00B24E33"/>
    <w:rsid w:val="00B26FE6"/>
    <w:rsid w:val="00B37655"/>
    <w:rsid w:val="00B42FD4"/>
    <w:rsid w:val="00B4399E"/>
    <w:rsid w:val="00B46AE4"/>
    <w:rsid w:val="00B47DC1"/>
    <w:rsid w:val="00B50BAC"/>
    <w:rsid w:val="00B54F62"/>
    <w:rsid w:val="00B61120"/>
    <w:rsid w:val="00B7005D"/>
    <w:rsid w:val="00B70D99"/>
    <w:rsid w:val="00B74C3C"/>
    <w:rsid w:val="00B76AFD"/>
    <w:rsid w:val="00B82AA0"/>
    <w:rsid w:val="00B82F38"/>
    <w:rsid w:val="00B83015"/>
    <w:rsid w:val="00B865C9"/>
    <w:rsid w:val="00B86C48"/>
    <w:rsid w:val="00B91E13"/>
    <w:rsid w:val="00B9611D"/>
    <w:rsid w:val="00BA32B7"/>
    <w:rsid w:val="00BB4CBA"/>
    <w:rsid w:val="00BC6517"/>
    <w:rsid w:val="00BF378B"/>
    <w:rsid w:val="00C00A29"/>
    <w:rsid w:val="00C02721"/>
    <w:rsid w:val="00C06EAA"/>
    <w:rsid w:val="00C152E3"/>
    <w:rsid w:val="00C1607A"/>
    <w:rsid w:val="00C31268"/>
    <w:rsid w:val="00C31810"/>
    <w:rsid w:val="00C37073"/>
    <w:rsid w:val="00C46663"/>
    <w:rsid w:val="00C46670"/>
    <w:rsid w:val="00C47649"/>
    <w:rsid w:val="00C50D06"/>
    <w:rsid w:val="00C515D3"/>
    <w:rsid w:val="00C532A5"/>
    <w:rsid w:val="00C54E0C"/>
    <w:rsid w:val="00C5528E"/>
    <w:rsid w:val="00C62016"/>
    <w:rsid w:val="00C63DD4"/>
    <w:rsid w:val="00C65C13"/>
    <w:rsid w:val="00C70C19"/>
    <w:rsid w:val="00C92FA7"/>
    <w:rsid w:val="00C9597D"/>
    <w:rsid w:val="00CA0134"/>
    <w:rsid w:val="00CA5FB4"/>
    <w:rsid w:val="00CB5E6A"/>
    <w:rsid w:val="00CB7ACA"/>
    <w:rsid w:val="00CC3CDF"/>
    <w:rsid w:val="00CC6914"/>
    <w:rsid w:val="00CD1357"/>
    <w:rsid w:val="00CD4BDE"/>
    <w:rsid w:val="00CD5AE1"/>
    <w:rsid w:val="00CE55FD"/>
    <w:rsid w:val="00CE5D3D"/>
    <w:rsid w:val="00CF2D90"/>
    <w:rsid w:val="00CF4912"/>
    <w:rsid w:val="00CF4B77"/>
    <w:rsid w:val="00CF51E5"/>
    <w:rsid w:val="00D07C12"/>
    <w:rsid w:val="00D1087A"/>
    <w:rsid w:val="00D220EA"/>
    <w:rsid w:val="00D25029"/>
    <w:rsid w:val="00D2655C"/>
    <w:rsid w:val="00D275B4"/>
    <w:rsid w:val="00D32088"/>
    <w:rsid w:val="00D3493D"/>
    <w:rsid w:val="00D40495"/>
    <w:rsid w:val="00D42A35"/>
    <w:rsid w:val="00D50F28"/>
    <w:rsid w:val="00D53A33"/>
    <w:rsid w:val="00D6494D"/>
    <w:rsid w:val="00D81AE8"/>
    <w:rsid w:val="00D8545D"/>
    <w:rsid w:val="00D913DA"/>
    <w:rsid w:val="00D91C01"/>
    <w:rsid w:val="00D921D6"/>
    <w:rsid w:val="00DA0722"/>
    <w:rsid w:val="00DA14A6"/>
    <w:rsid w:val="00DA67F5"/>
    <w:rsid w:val="00DA7B6D"/>
    <w:rsid w:val="00DB6035"/>
    <w:rsid w:val="00DE11FC"/>
    <w:rsid w:val="00DE265F"/>
    <w:rsid w:val="00DE5572"/>
    <w:rsid w:val="00DF21E7"/>
    <w:rsid w:val="00DF4A69"/>
    <w:rsid w:val="00E06B94"/>
    <w:rsid w:val="00E11376"/>
    <w:rsid w:val="00E11C1C"/>
    <w:rsid w:val="00E11F2C"/>
    <w:rsid w:val="00E14120"/>
    <w:rsid w:val="00E16CB7"/>
    <w:rsid w:val="00E22BCB"/>
    <w:rsid w:val="00E3160A"/>
    <w:rsid w:val="00E3250E"/>
    <w:rsid w:val="00E513A1"/>
    <w:rsid w:val="00E52A97"/>
    <w:rsid w:val="00E543BE"/>
    <w:rsid w:val="00E60BB5"/>
    <w:rsid w:val="00E61DE7"/>
    <w:rsid w:val="00E62423"/>
    <w:rsid w:val="00E62ADE"/>
    <w:rsid w:val="00E664B2"/>
    <w:rsid w:val="00E72CE0"/>
    <w:rsid w:val="00E7453F"/>
    <w:rsid w:val="00E80B50"/>
    <w:rsid w:val="00E82275"/>
    <w:rsid w:val="00E8259C"/>
    <w:rsid w:val="00E82924"/>
    <w:rsid w:val="00E84501"/>
    <w:rsid w:val="00E91703"/>
    <w:rsid w:val="00E935DB"/>
    <w:rsid w:val="00E96EC3"/>
    <w:rsid w:val="00EA4472"/>
    <w:rsid w:val="00EA64BD"/>
    <w:rsid w:val="00EB2825"/>
    <w:rsid w:val="00EB513C"/>
    <w:rsid w:val="00EB5891"/>
    <w:rsid w:val="00EB6F52"/>
    <w:rsid w:val="00EC05AE"/>
    <w:rsid w:val="00ED0359"/>
    <w:rsid w:val="00ED5805"/>
    <w:rsid w:val="00EE0BDA"/>
    <w:rsid w:val="00EF79DC"/>
    <w:rsid w:val="00F04CDB"/>
    <w:rsid w:val="00F13661"/>
    <w:rsid w:val="00F143FB"/>
    <w:rsid w:val="00F14F36"/>
    <w:rsid w:val="00F22E4F"/>
    <w:rsid w:val="00F27479"/>
    <w:rsid w:val="00F33557"/>
    <w:rsid w:val="00F33B1D"/>
    <w:rsid w:val="00F35AC7"/>
    <w:rsid w:val="00F42693"/>
    <w:rsid w:val="00F42D03"/>
    <w:rsid w:val="00F46E45"/>
    <w:rsid w:val="00F53929"/>
    <w:rsid w:val="00F639AE"/>
    <w:rsid w:val="00F670FA"/>
    <w:rsid w:val="00F67A74"/>
    <w:rsid w:val="00F75796"/>
    <w:rsid w:val="00F76EF1"/>
    <w:rsid w:val="00F77E99"/>
    <w:rsid w:val="00F803ED"/>
    <w:rsid w:val="00F809C6"/>
    <w:rsid w:val="00F972D4"/>
    <w:rsid w:val="00FA1E70"/>
    <w:rsid w:val="00FA546C"/>
    <w:rsid w:val="00FB10A8"/>
    <w:rsid w:val="00FB1B76"/>
    <w:rsid w:val="00FB356F"/>
    <w:rsid w:val="00FC24E4"/>
    <w:rsid w:val="00FD0BC3"/>
    <w:rsid w:val="00FD18E4"/>
    <w:rsid w:val="00FD1A5A"/>
    <w:rsid w:val="00FD6E38"/>
    <w:rsid w:val="00FF23D8"/>
    <w:rsid w:val="00FF5808"/>
    <w:rsid w:val="00FF60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3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next w:val="Normal"/>
    <w:link w:val="Heading1Char1"/>
    <w:qFormat/>
    <w:rsid w:val="001D7377"/>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 w:val="22"/>
      <w:szCs w:val="22"/>
    </w:rPr>
  </w:style>
  <w:style w:type="character" w:styleId="Hyperlink">
    <w:name w:val="Hyperlink"/>
    <w:rsid w:val="001D7377"/>
    <w:rPr>
      <w:color w:val="0000FF"/>
      <w:u w:val="single"/>
    </w:rPr>
  </w:style>
  <w:style w:type="character" w:customStyle="1" w:styleId="ListParagraphChar">
    <w:name w:val="List Paragraph Char"/>
    <w:link w:val="ListParagraph"/>
    <w:uiPriority w:val="34"/>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basedOn w:val="Normal"/>
    <w:link w:val="HeaderChar"/>
    <w:uiPriority w:val="99"/>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077861"/>
    <w:rPr>
      <w:rFonts w:ascii="Times New Roman" w:eastAsia="SimSun" w:hAnsi="Times New Roman" w:cs="Times New Roman"/>
      <w:b/>
      <w:bCs/>
      <w:sz w:val="20"/>
      <w:szCs w:val="20"/>
    </w:rPr>
  </w:style>
  <w:style w:type="paragraph" w:customStyle="1" w:styleId="TAH">
    <w:name w:val="TAH"/>
    <w:basedOn w:val="TAC"/>
    <w:rsid w:val="00077861"/>
    <w:rPr>
      <w:b/>
    </w:rPr>
  </w:style>
  <w:style w:type="paragraph" w:customStyle="1" w:styleId="TAC">
    <w:name w:val="TAC"/>
    <w:basedOn w:val="Normal"/>
    <w:link w:val="TACChar"/>
    <w:rsid w:val="00077861"/>
    <w:pPr>
      <w:keepNext/>
      <w:keepLines/>
      <w:overflowPunct/>
      <w:autoSpaceDE/>
      <w:autoSpaceDN/>
      <w:adjustRightInd/>
      <w:spacing w:after="0"/>
      <w:jc w:val="center"/>
      <w:textAlignment w:val="auto"/>
    </w:pPr>
    <w:rPr>
      <w:rFonts w:ascii="Arial" w:eastAsia="Times New Roman" w:hAnsi="Arial"/>
      <w:sz w:val="18"/>
      <w:lang w:val="en-GB"/>
    </w:rPr>
  </w:style>
  <w:style w:type="paragraph" w:customStyle="1" w:styleId="Text">
    <w:name w:val="Text"/>
    <w:rsid w:val="00077861"/>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rPr>
  </w:style>
  <w:style w:type="character" w:customStyle="1" w:styleId="TACChar">
    <w:name w:val="TAC Char"/>
    <w:link w:val="TAC"/>
    <w:rsid w:val="00077861"/>
    <w:rPr>
      <w:rFonts w:ascii="Arial" w:eastAsia="Times New Roman" w:hAnsi="Arial" w:cs="Times New Roman"/>
      <w:sz w:val="18"/>
      <w:szCs w:val="20"/>
      <w:lang w:val="en-GB"/>
    </w:rPr>
  </w:style>
  <w:style w:type="character" w:customStyle="1" w:styleId="ng-binding">
    <w:name w:val="ng-binding"/>
    <w:basedOn w:val="DefaultParagraphFont"/>
    <w:rsid w:val="00B47DC1"/>
  </w:style>
  <w:style w:type="character" w:customStyle="1" w:styleId="apple-converted-space">
    <w:name w:val="apple-converted-space"/>
    <w:basedOn w:val="DefaultParagraphFont"/>
    <w:rsid w:val="00B47DC1"/>
  </w:style>
  <w:style w:type="paragraph" w:styleId="BodyText">
    <w:name w:val="Body Text"/>
    <w:basedOn w:val="Normal"/>
    <w:link w:val="BodyTextChar"/>
    <w:uiPriority w:val="99"/>
    <w:unhideWhenUsed/>
    <w:rsid w:val="008234A8"/>
    <w:pPr>
      <w:overflowPunct/>
      <w:autoSpaceDE/>
      <w:autoSpaceDN/>
      <w:adjustRightInd/>
      <w:spacing w:after="120"/>
      <w:textAlignment w:val="auto"/>
    </w:pPr>
    <w:rPr>
      <w:rFonts w:asciiTheme="minorHAnsi" w:eastAsiaTheme="minorHAnsi" w:hAnsiTheme="minorHAnsi" w:cstheme="minorBidi"/>
      <w:sz w:val="22"/>
      <w:szCs w:val="22"/>
    </w:rPr>
  </w:style>
  <w:style w:type="character" w:customStyle="1" w:styleId="BodyTextChar">
    <w:name w:val="Body Text Char"/>
    <w:basedOn w:val="DefaultParagraphFont"/>
    <w:link w:val="BodyText"/>
    <w:uiPriority w:val="99"/>
    <w:rsid w:val="008234A8"/>
  </w:style>
  <w:style w:type="paragraph" w:customStyle="1" w:styleId="IvDbodytext">
    <w:name w:val="IvD bodytext"/>
    <w:basedOn w:val="BodyText"/>
    <w:link w:val="IvDbodytextChar"/>
    <w:qFormat/>
    <w:rsid w:val="008234A8"/>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cs="Times New Roman"/>
      <w:spacing w:val="2"/>
      <w:sz w:val="20"/>
      <w:szCs w:val="20"/>
    </w:rPr>
  </w:style>
  <w:style w:type="character" w:customStyle="1" w:styleId="IvDbodytextChar">
    <w:name w:val="IvD bodytext Char"/>
    <w:basedOn w:val="BodyTextChar"/>
    <w:link w:val="IvDbodytext"/>
    <w:rsid w:val="008234A8"/>
    <w:rPr>
      <w:rFonts w:ascii="Arial" w:eastAsia="Times New Roman" w:hAnsi="Arial" w:cs="Times New Roman"/>
      <w:spacing w:val="2"/>
      <w:sz w:val="20"/>
      <w:szCs w:val="20"/>
    </w:rPr>
  </w:style>
  <w:style w:type="paragraph" w:styleId="NormalWeb">
    <w:name w:val="Normal (Web)"/>
    <w:basedOn w:val="Normal"/>
    <w:uiPriority w:val="99"/>
    <w:unhideWhenUsed/>
    <w:rsid w:val="00253D74"/>
    <w:pPr>
      <w:overflowPunct/>
      <w:autoSpaceDE/>
      <w:autoSpaceDN/>
      <w:adjustRightInd/>
      <w:spacing w:before="100" w:beforeAutospacing="1" w:after="100" w:afterAutospacing="1"/>
      <w:textAlignment w:val="auto"/>
    </w:pPr>
    <w:rPr>
      <w:rFonts w:eastAsiaTheme="minorEastAsia"/>
      <w:sz w:val="24"/>
      <w:szCs w:val="24"/>
    </w:rPr>
  </w:style>
  <w:style w:type="table" w:styleId="ListTable5Dark-Accent1">
    <w:name w:val="List Table 5 Dark Accent 1"/>
    <w:basedOn w:val="TableNormal"/>
    <w:uiPriority w:val="50"/>
    <w:rsid w:val="0079695F"/>
    <w:pPr>
      <w:spacing w:after="0" w:line="240" w:lineRule="auto"/>
    </w:pPr>
    <w:rPr>
      <w:color w:val="FFFFFF" w:themeColor="background1"/>
    </w:rPr>
    <w:tblPr>
      <w:tblStyleRowBandSize w:val="1"/>
      <w:tblStyleColBandSize w:val="1"/>
      <w:tblBorders>
        <w:top w:val="single" w:sz="24" w:space="0" w:color="5B9BD5" w:themeColor="accent1"/>
        <w:left w:val="single" w:sz="24" w:space="0" w:color="5B9BD5" w:themeColor="accent1"/>
        <w:bottom w:val="single" w:sz="24" w:space="0" w:color="5B9BD5" w:themeColor="accent1"/>
        <w:right w:val="single" w:sz="24" w:space="0" w:color="5B9BD5" w:themeColor="accent1"/>
      </w:tblBorders>
    </w:tblPr>
    <w:tcPr>
      <w:shd w:val="clear" w:color="auto" w:fill="5B9BD5"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TableText">
    <w:name w:val="Table_Text"/>
    <w:basedOn w:val="Normal"/>
    <w:rsid w:val="00B61120"/>
    <w:pPr>
      <w:keepNext/>
      <w:tabs>
        <w:tab w:val="left" w:pos="794"/>
        <w:tab w:val="left" w:pos="1191"/>
        <w:tab w:val="left" w:pos="1588"/>
        <w:tab w:val="left" w:pos="1985"/>
      </w:tabs>
      <w:overflowPunct/>
      <w:autoSpaceDE/>
      <w:autoSpaceDN/>
      <w:adjustRightInd/>
      <w:spacing w:before="100" w:after="100" w:line="190" w:lineRule="exact"/>
      <w:jc w:val="both"/>
      <w:textAlignment w:val="auto"/>
    </w:pPr>
    <w:rPr>
      <w:sz w:val="18"/>
      <w:lang w:val="en-GB"/>
    </w:rPr>
  </w:style>
  <w:style w:type="paragraph" w:customStyle="1" w:styleId="2222">
    <w:name w:val="스타일 스타일 스타일 스타일 양쪽 첫 줄:  2 글자 + 첫 줄:  2 글자 + 첫 줄:  2 글자 + 첫 줄:  2..."/>
    <w:basedOn w:val="Normal"/>
    <w:link w:val="2222Char"/>
    <w:rsid w:val="003917FA"/>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3917FA"/>
    <w:rPr>
      <w:rFonts w:ascii="Times New Roman" w:eastAsia="Malgun Gothic" w:hAnsi="Times New Roman" w:cs="Batang"/>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768956">
      <w:bodyDiv w:val="1"/>
      <w:marLeft w:val="0"/>
      <w:marRight w:val="0"/>
      <w:marTop w:val="0"/>
      <w:marBottom w:val="0"/>
      <w:divBdr>
        <w:top w:val="none" w:sz="0" w:space="0" w:color="auto"/>
        <w:left w:val="none" w:sz="0" w:space="0" w:color="auto"/>
        <w:bottom w:val="none" w:sz="0" w:space="0" w:color="auto"/>
        <w:right w:val="none" w:sz="0" w:space="0" w:color="auto"/>
      </w:divBdr>
    </w:div>
    <w:div w:id="198515033">
      <w:bodyDiv w:val="1"/>
      <w:marLeft w:val="0"/>
      <w:marRight w:val="0"/>
      <w:marTop w:val="0"/>
      <w:marBottom w:val="0"/>
      <w:divBdr>
        <w:top w:val="none" w:sz="0" w:space="0" w:color="auto"/>
        <w:left w:val="none" w:sz="0" w:space="0" w:color="auto"/>
        <w:bottom w:val="none" w:sz="0" w:space="0" w:color="auto"/>
        <w:right w:val="none" w:sz="0" w:space="0" w:color="auto"/>
      </w:divBdr>
    </w:div>
    <w:div w:id="492456954">
      <w:bodyDiv w:val="1"/>
      <w:marLeft w:val="0"/>
      <w:marRight w:val="0"/>
      <w:marTop w:val="0"/>
      <w:marBottom w:val="0"/>
      <w:divBdr>
        <w:top w:val="none" w:sz="0" w:space="0" w:color="auto"/>
        <w:left w:val="none" w:sz="0" w:space="0" w:color="auto"/>
        <w:bottom w:val="none" w:sz="0" w:space="0" w:color="auto"/>
        <w:right w:val="none" w:sz="0" w:space="0" w:color="auto"/>
      </w:divBdr>
    </w:div>
    <w:div w:id="686103819">
      <w:bodyDiv w:val="1"/>
      <w:marLeft w:val="0"/>
      <w:marRight w:val="0"/>
      <w:marTop w:val="0"/>
      <w:marBottom w:val="0"/>
      <w:divBdr>
        <w:top w:val="none" w:sz="0" w:space="0" w:color="auto"/>
        <w:left w:val="none" w:sz="0" w:space="0" w:color="auto"/>
        <w:bottom w:val="none" w:sz="0" w:space="0" w:color="auto"/>
        <w:right w:val="none" w:sz="0" w:space="0" w:color="auto"/>
      </w:divBdr>
    </w:div>
    <w:div w:id="1048185179">
      <w:bodyDiv w:val="1"/>
      <w:marLeft w:val="0"/>
      <w:marRight w:val="0"/>
      <w:marTop w:val="0"/>
      <w:marBottom w:val="0"/>
      <w:divBdr>
        <w:top w:val="none" w:sz="0" w:space="0" w:color="auto"/>
        <w:left w:val="none" w:sz="0" w:space="0" w:color="auto"/>
        <w:bottom w:val="none" w:sz="0" w:space="0" w:color="auto"/>
        <w:right w:val="none" w:sz="0" w:space="0" w:color="auto"/>
      </w:divBdr>
    </w:div>
    <w:div w:id="1187717981">
      <w:bodyDiv w:val="1"/>
      <w:marLeft w:val="0"/>
      <w:marRight w:val="0"/>
      <w:marTop w:val="0"/>
      <w:marBottom w:val="0"/>
      <w:divBdr>
        <w:top w:val="none" w:sz="0" w:space="0" w:color="auto"/>
        <w:left w:val="none" w:sz="0" w:space="0" w:color="auto"/>
        <w:bottom w:val="none" w:sz="0" w:space="0" w:color="auto"/>
        <w:right w:val="none" w:sz="0" w:space="0" w:color="auto"/>
      </w:divBdr>
    </w:div>
    <w:div w:id="1215969081">
      <w:bodyDiv w:val="1"/>
      <w:marLeft w:val="0"/>
      <w:marRight w:val="0"/>
      <w:marTop w:val="0"/>
      <w:marBottom w:val="0"/>
      <w:divBdr>
        <w:top w:val="none" w:sz="0" w:space="0" w:color="auto"/>
        <w:left w:val="none" w:sz="0" w:space="0" w:color="auto"/>
        <w:bottom w:val="none" w:sz="0" w:space="0" w:color="auto"/>
        <w:right w:val="none" w:sz="0" w:space="0" w:color="auto"/>
      </w:divBdr>
    </w:div>
    <w:div w:id="1328941109">
      <w:bodyDiv w:val="1"/>
      <w:marLeft w:val="0"/>
      <w:marRight w:val="0"/>
      <w:marTop w:val="0"/>
      <w:marBottom w:val="0"/>
      <w:divBdr>
        <w:top w:val="none" w:sz="0" w:space="0" w:color="auto"/>
        <w:left w:val="none" w:sz="0" w:space="0" w:color="auto"/>
        <w:bottom w:val="none" w:sz="0" w:space="0" w:color="auto"/>
        <w:right w:val="none" w:sz="0" w:space="0" w:color="auto"/>
      </w:divBdr>
    </w:div>
    <w:div w:id="1839883187">
      <w:bodyDiv w:val="1"/>
      <w:marLeft w:val="0"/>
      <w:marRight w:val="0"/>
      <w:marTop w:val="0"/>
      <w:marBottom w:val="0"/>
      <w:divBdr>
        <w:top w:val="none" w:sz="0" w:space="0" w:color="auto"/>
        <w:left w:val="none" w:sz="0" w:space="0" w:color="auto"/>
        <w:bottom w:val="none" w:sz="0" w:space="0" w:color="auto"/>
        <w:right w:val="none" w:sz="0" w:space="0" w:color="auto"/>
      </w:divBdr>
    </w:div>
    <w:div w:id="1847746484">
      <w:bodyDiv w:val="1"/>
      <w:marLeft w:val="0"/>
      <w:marRight w:val="0"/>
      <w:marTop w:val="0"/>
      <w:marBottom w:val="0"/>
      <w:divBdr>
        <w:top w:val="none" w:sz="0" w:space="0" w:color="auto"/>
        <w:left w:val="none" w:sz="0" w:space="0" w:color="auto"/>
        <w:bottom w:val="none" w:sz="0" w:space="0" w:color="auto"/>
        <w:right w:val="none" w:sz="0" w:space="0" w:color="auto"/>
      </w:divBdr>
    </w:div>
    <w:div w:id="1900283613">
      <w:bodyDiv w:val="1"/>
      <w:marLeft w:val="0"/>
      <w:marRight w:val="0"/>
      <w:marTop w:val="0"/>
      <w:marBottom w:val="0"/>
      <w:divBdr>
        <w:top w:val="none" w:sz="0" w:space="0" w:color="auto"/>
        <w:left w:val="none" w:sz="0" w:space="0" w:color="auto"/>
        <w:bottom w:val="none" w:sz="0" w:space="0" w:color="auto"/>
        <w:right w:val="none" w:sz="0" w:space="0" w:color="auto"/>
      </w:divBdr>
    </w:div>
    <w:div w:id="2131582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13519B-1245-4255-9C80-F2A03A95D5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1424</TotalTime>
  <Pages>2</Pages>
  <Words>546</Words>
  <Characters>3116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3655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Nammi, Sairemesh</dc:creator>
  <cp:keywords/>
  <dc:description/>
  <cp:lastModifiedBy>Nammi, Sairemesh</cp:lastModifiedBy>
  <cp:revision>70</cp:revision>
  <dcterms:created xsi:type="dcterms:W3CDTF">2017-03-24T19:52:00Z</dcterms:created>
  <dcterms:modified xsi:type="dcterms:W3CDTF">2017-08-12T01:09:00Z</dcterms:modified>
</cp:coreProperties>
</file>